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7F9DD" w14:textId="77777777" w:rsidR="00F729D0" w:rsidRPr="00A52C58" w:rsidRDefault="00F729D0" w:rsidP="00F729D0">
      <w:pPr>
        <w:widowControl w:val="0"/>
        <w:spacing w:line="360" w:lineRule="auto"/>
        <w:jc w:val="center"/>
        <w:rPr>
          <w:b/>
          <w:snapToGrid w:val="0"/>
          <w:sz w:val="22"/>
          <w:szCs w:val="22"/>
        </w:rPr>
      </w:pPr>
      <w:r w:rsidRPr="00A52C58">
        <w:rPr>
          <w:b/>
          <w:snapToGrid w:val="0"/>
          <w:sz w:val="22"/>
          <w:szCs w:val="22"/>
        </w:rPr>
        <w:t>Обязательная информация</w:t>
      </w:r>
    </w:p>
    <w:p w14:paraId="45398BB2" w14:textId="77777777" w:rsidR="00F729D0" w:rsidRPr="00A52C58" w:rsidRDefault="00F729D0" w:rsidP="00F729D0">
      <w:pPr>
        <w:widowControl w:val="0"/>
        <w:spacing w:line="360" w:lineRule="auto"/>
        <w:jc w:val="both"/>
        <w:rPr>
          <w:snapToGrid w:val="0"/>
          <w:sz w:val="22"/>
          <w:szCs w:val="22"/>
        </w:rPr>
      </w:pPr>
    </w:p>
    <w:p w14:paraId="4BB1019B" w14:textId="77777777" w:rsidR="00F729D0" w:rsidRPr="00A52C58" w:rsidRDefault="00F729D0" w:rsidP="00F729D0">
      <w:pPr>
        <w:widowControl w:val="0"/>
        <w:spacing w:line="360" w:lineRule="auto"/>
        <w:ind w:firstLine="709"/>
        <w:jc w:val="both"/>
        <w:rPr>
          <w:snapToGrid w:val="0"/>
          <w:sz w:val="24"/>
          <w:szCs w:val="24"/>
        </w:rPr>
      </w:pPr>
      <w:r w:rsidRPr="00A52C58">
        <w:rPr>
          <w:snapToGrid w:val="0"/>
          <w:sz w:val="24"/>
          <w:szCs w:val="24"/>
        </w:rPr>
        <w:t xml:space="preserve">ТКБ </w:t>
      </w:r>
      <w:proofErr w:type="spellStart"/>
      <w:r w:rsidRPr="00A52C58">
        <w:rPr>
          <w:snapToGrid w:val="0"/>
          <w:sz w:val="24"/>
          <w:szCs w:val="24"/>
        </w:rPr>
        <w:t>Инвестмент</w:t>
      </w:r>
      <w:proofErr w:type="spellEnd"/>
      <w:r w:rsidRPr="00A52C58">
        <w:rPr>
          <w:snapToGrid w:val="0"/>
          <w:sz w:val="24"/>
          <w:szCs w:val="24"/>
        </w:rPr>
        <w:t xml:space="preserve"> </w:t>
      </w:r>
      <w:proofErr w:type="spellStart"/>
      <w:r w:rsidRPr="00A52C58">
        <w:rPr>
          <w:snapToGrid w:val="0"/>
          <w:sz w:val="24"/>
          <w:szCs w:val="24"/>
        </w:rPr>
        <w:t>Партнерс</w:t>
      </w:r>
      <w:proofErr w:type="spellEnd"/>
      <w:r w:rsidRPr="00A52C58">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60977E42" w14:textId="77777777" w:rsidR="00F729D0" w:rsidRPr="00A52C58" w:rsidRDefault="00F729D0" w:rsidP="00F729D0">
      <w:pPr>
        <w:widowControl w:val="0"/>
        <w:spacing w:line="360" w:lineRule="auto"/>
        <w:ind w:firstLine="708"/>
        <w:jc w:val="both"/>
        <w:rPr>
          <w:snapToGrid w:val="0"/>
          <w:sz w:val="24"/>
          <w:szCs w:val="24"/>
        </w:rPr>
      </w:pPr>
      <w:r w:rsidRPr="00A52C58">
        <w:rPr>
          <w:snapToGrid w:val="0"/>
          <w:sz w:val="24"/>
          <w:szCs w:val="24"/>
        </w:rPr>
        <w:t xml:space="preserve">ОПИФ рыночных финансовых инструментов «ТКБ </w:t>
      </w:r>
      <w:proofErr w:type="spellStart"/>
      <w:r w:rsidRPr="00A52C58">
        <w:rPr>
          <w:snapToGrid w:val="0"/>
          <w:sz w:val="24"/>
          <w:szCs w:val="24"/>
        </w:rPr>
        <w:t>Инвестмент</w:t>
      </w:r>
      <w:proofErr w:type="spellEnd"/>
      <w:r w:rsidRPr="00A52C58">
        <w:rPr>
          <w:snapToGrid w:val="0"/>
          <w:sz w:val="24"/>
          <w:szCs w:val="24"/>
        </w:rPr>
        <w:t xml:space="preserve"> </w:t>
      </w:r>
      <w:proofErr w:type="spellStart"/>
      <w:r w:rsidRPr="00A52C58">
        <w:rPr>
          <w:snapToGrid w:val="0"/>
          <w:sz w:val="24"/>
          <w:szCs w:val="24"/>
        </w:rPr>
        <w:t>Партнерс</w:t>
      </w:r>
      <w:proofErr w:type="spellEnd"/>
      <w:r w:rsidRPr="00A52C58">
        <w:rPr>
          <w:snapToGrid w:val="0"/>
          <w:sz w:val="24"/>
          <w:szCs w:val="24"/>
        </w:rPr>
        <w:t xml:space="preserve"> – Фонд валютных облигаций» (Правила доверительного управления фондом зарегистрированы ФСФР России 20.09.2007 за № 0991-94131990).</w:t>
      </w:r>
    </w:p>
    <w:p w14:paraId="2ED399D9" w14:textId="77777777" w:rsidR="00F729D0" w:rsidRPr="00A52C58" w:rsidRDefault="00F729D0" w:rsidP="00F729D0">
      <w:pPr>
        <w:widowControl w:val="0"/>
        <w:spacing w:line="360" w:lineRule="auto"/>
        <w:ind w:firstLine="708"/>
        <w:jc w:val="both"/>
        <w:rPr>
          <w:snapToGrid w:val="0"/>
          <w:sz w:val="24"/>
          <w:szCs w:val="24"/>
        </w:rPr>
      </w:pPr>
      <w:r w:rsidRPr="00A52C58">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A52C58">
        <w:rPr>
          <w:snapToGrid w:val="0"/>
          <w:sz w:val="24"/>
          <w:szCs w:val="24"/>
        </w:rPr>
        <w:t>sales</w:t>
      </w:r>
      <w:proofErr w:type="spellEnd"/>
      <w:r w:rsidRPr="00A52C58">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06C1D494" w14:textId="77777777" w:rsidR="00F729D0" w:rsidRDefault="00F729D0" w:rsidP="00F729D0">
      <w:pPr>
        <w:widowControl w:val="0"/>
        <w:spacing w:line="360" w:lineRule="auto"/>
        <w:ind w:firstLine="708"/>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6D5367BD" w14:textId="77777777" w:rsidR="00F729D0" w:rsidRDefault="00F729D0">
      <w:pPr>
        <w:autoSpaceDE/>
        <w:autoSpaceDN/>
        <w:spacing w:after="200" w:line="276" w:lineRule="auto"/>
        <w:rPr>
          <w:b/>
          <w:bCs/>
          <w:sz w:val="24"/>
          <w:szCs w:val="24"/>
        </w:rPr>
      </w:pPr>
      <w:bookmarkStart w:id="0" w:name="_GoBack"/>
      <w:bookmarkEnd w:id="0"/>
      <w:r>
        <w:rPr>
          <w:b/>
          <w:bCs/>
        </w:rPr>
        <w:br w:type="page"/>
      </w:r>
    </w:p>
    <w:p w14:paraId="62B7D1B4" w14:textId="446838AF" w:rsidR="00343FE0" w:rsidRDefault="00496F37" w:rsidP="00851359">
      <w:pPr>
        <w:pStyle w:val="a5"/>
        <w:ind w:firstLine="0"/>
        <w:jc w:val="left"/>
        <w:rPr>
          <w:rFonts w:ascii="Times New Roman" w:hAnsi="Times New Roman" w:cs="Times New Roman"/>
          <w:b/>
          <w:bCs/>
        </w:rPr>
      </w:pPr>
      <w:r>
        <w:rPr>
          <w:rFonts w:ascii="Times New Roman" w:hAnsi="Times New Roman" w:cs="Times New Roman"/>
          <w:b/>
          <w:bCs/>
        </w:rPr>
        <w:t xml:space="preserve">       </w:t>
      </w:r>
      <w:r w:rsidR="00732B07">
        <w:rPr>
          <w:rFonts w:ascii="Times New Roman" w:hAnsi="Times New Roman" w:cs="Times New Roman"/>
          <w:b/>
          <w:bCs/>
        </w:rPr>
        <w:t xml:space="preserve">            </w:t>
      </w:r>
    </w:p>
    <w:p w14:paraId="462E175D" w14:textId="3D9C641D" w:rsidR="00C96692" w:rsidRPr="0095752E" w:rsidRDefault="00343FE0" w:rsidP="00C96692">
      <w:pPr>
        <w:pStyle w:val="a5"/>
        <w:ind w:firstLine="284"/>
        <w:rPr>
          <w:rFonts w:ascii="Times New Roman" w:hAnsi="Times New Roman" w:cs="Times New Roman"/>
          <w:b/>
          <w:bCs/>
        </w:rPr>
      </w:pPr>
      <w:r>
        <w:rPr>
          <w:rFonts w:ascii="Times New Roman" w:hAnsi="Times New Roman" w:cs="Times New Roman"/>
          <w:b/>
          <w:bCs/>
        </w:rPr>
        <w:t xml:space="preserve">                                     </w:t>
      </w:r>
      <w:r w:rsidR="00732B07">
        <w:rPr>
          <w:rFonts w:ascii="Times New Roman" w:hAnsi="Times New Roman" w:cs="Times New Roman"/>
          <w:b/>
          <w:bCs/>
        </w:rPr>
        <w:t xml:space="preserve">  </w:t>
      </w:r>
      <w:r w:rsidR="00C96692" w:rsidRPr="0095752E">
        <w:rPr>
          <w:rFonts w:ascii="Times New Roman" w:hAnsi="Times New Roman" w:cs="Times New Roman"/>
          <w:b/>
          <w:bCs/>
        </w:rPr>
        <w:t>УТВЕРЖДЕНЫ</w:t>
      </w:r>
    </w:p>
    <w:p w14:paraId="71433136" w14:textId="77777777" w:rsidR="00C96692" w:rsidRPr="0095752E" w:rsidRDefault="00C96692" w:rsidP="00FF5905">
      <w:pPr>
        <w:spacing w:line="280" w:lineRule="exact"/>
        <w:ind w:firstLine="284"/>
        <w:jc w:val="center"/>
        <w:rPr>
          <w:b/>
          <w:bCs/>
          <w:sz w:val="24"/>
          <w:szCs w:val="24"/>
        </w:rPr>
      </w:pPr>
      <w:r w:rsidRPr="0095752E">
        <w:rPr>
          <w:b/>
          <w:bCs/>
          <w:sz w:val="24"/>
          <w:szCs w:val="24"/>
        </w:rPr>
        <w:t xml:space="preserve">                                                   </w:t>
      </w:r>
      <w:r w:rsidR="00FF5905">
        <w:rPr>
          <w:b/>
          <w:bCs/>
          <w:sz w:val="24"/>
          <w:szCs w:val="24"/>
        </w:rPr>
        <w:t xml:space="preserve">                         </w:t>
      </w:r>
      <w:r w:rsidRPr="0095752E">
        <w:rPr>
          <w:b/>
          <w:bCs/>
          <w:sz w:val="24"/>
          <w:szCs w:val="24"/>
        </w:rPr>
        <w:t xml:space="preserve">Приказом </w:t>
      </w:r>
      <w:r w:rsidR="00FF5905">
        <w:rPr>
          <w:b/>
          <w:bCs/>
          <w:sz w:val="24"/>
          <w:szCs w:val="24"/>
        </w:rPr>
        <w:t xml:space="preserve">Генерального директора </w:t>
      </w:r>
      <w:r w:rsidRPr="0095752E">
        <w:rPr>
          <w:b/>
          <w:bCs/>
          <w:sz w:val="24"/>
          <w:szCs w:val="24"/>
        </w:rPr>
        <w:t xml:space="preserve">  </w:t>
      </w:r>
    </w:p>
    <w:p w14:paraId="39C3CA12" w14:textId="77777777" w:rsidR="00C96692" w:rsidRPr="0095752E" w:rsidRDefault="00C96692" w:rsidP="00C96692">
      <w:pPr>
        <w:spacing w:line="280" w:lineRule="exact"/>
        <w:ind w:firstLine="284"/>
        <w:jc w:val="center"/>
        <w:rPr>
          <w:b/>
          <w:bCs/>
          <w:sz w:val="24"/>
          <w:szCs w:val="24"/>
        </w:rPr>
      </w:pPr>
      <w:r w:rsidRPr="0095752E">
        <w:rPr>
          <w:b/>
          <w:bCs/>
          <w:sz w:val="24"/>
          <w:szCs w:val="24"/>
        </w:rPr>
        <w:t xml:space="preserve">                                                                      </w:t>
      </w:r>
      <w:r w:rsidR="00FF5905">
        <w:rPr>
          <w:b/>
          <w:bCs/>
          <w:sz w:val="24"/>
          <w:szCs w:val="24"/>
        </w:rPr>
        <w:t>Т</w:t>
      </w:r>
      <w:r w:rsidRPr="0095752E">
        <w:rPr>
          <w:b/>
          <w:bCs/>
          <w:sz w:val="24"/>
          <w:szCs w:val="24"/>
        </w:rPr>
        <w:t xml:space="preserve">КБ </w:t>
      </w:r>
      <w:proofErr w:type="spellStart"/>
      <w:r w:rsidRPr="0095752E">
        <w:rPr>
          <w:b/>
          <w:bCs/>
          <w:sz w:val="24"/>
          <w:szCs w:val="24"/>
        </w:rPr>
        <w:t>Инвестмент</w:t>
      </w:r>
      <w:proofErr w:type="spellEnd"/>
      <w:r w:rsidRPr="0095752E">
        <w:rPr>
          <w:b/>
          <w:bCs/>
          <w:sz w:val="24"/>
          <w:szCs w:val="24"/>
        </w:rPr>
        <w:t xml:space="preserve"> </w:t>
      </w:r>
      <w:proofErr w:type="spellStart"/>
      <w:r w:rsidRPr="0095752E">
        <w:rPr>
          <w:b/>
          <w:bCs/>
          <w:sz w:val="24"/>
          <w:szCs w:val="24"/>
        </w:rPr>
        <w:t>Партнерс</w:t>
      </w:r>
      <w:proofErr w:type="spellEnd"/>
      <w:r w:rsidRPr="0095752E">
        <w:rPr>
          <w:b/>
          <w:bCs/>
          <w:sz w:val="24"/>
          <w:szCs w:val="24"/>
        </w:rPr>
        <w:t xml:space="preserve"> (АО)</w:t>
      </w:r>
    </w:p>
    <w:p w14:paraId="272BEC48" w14:textId="77777777" w:rsidR="00C96692" w:rsidRPr="0095752E" w:rsidRDefault="00C96692" w:rsidP="00C96692">
      <w:pPr>
        <w:spacing w:line="280" w:lineRule="exact"/>
        <w:ind w:firstLine="284"/>
        <w:jc w:val="center"/>
        <w:rPr>
          <w:b/>
          <w:bCs/>
          <w:sz w:val="24"/>
          <w:szCs w:val="24"/>
        </w:rPr>
      </w:pPr>
      <w:r w:rsidRPr="0095752E">
        <w:rPr>
          <w:b/>
          <w:bCs/>
          <w:sz w:val="24"/>
          <w:szCs w:val="24"/>
        </w:rPr>
        <w:t xml:space="preserve">                                             </w:t>
      </w:r>
      <w:r w:rsidR="00FF5905">
        <w:rPr>
          <w:b/>
          <w:bCs/>
          <w:sz w:val="24"/>
          <w:szCs w:val="24"/>
        </w:rPr>
        <w:t>Тимофеевым Д.Н.</w:t>
      </w:r>
    </w:p>
    <w:p w14:paraId="5B145488" w14:textId="2668A8C0" w:rsidR="00C96692" w:rsidRPr="00E908C8" w:rsidRDefault="00C96692" w:rsidP="00C96692">
      <w:pPr>
        <w:spacing w:line="280" w:lineRule="exact"/>
        <w:ind w:firstLine="284"/>
        <w:jc w:val="center"/>
        <w:rPr>
          <w:b/>
          <w:bCs/>
          <w:sz w:val="24"/>
          <w:szCs w:val="24"/>
        </w:rPr>
      </w:pPr>
      <w:r w:rsidRPr="0095752E">
        <w:rPr>
          <w:b/>
          <w:bCs/>
          <w:sz w:val="24"/>
          <w:szCs w:val="24"/>
        </w:rPr>
        <w:t xml:space="preserve">                                         </w:t>
      </w:r>
      <w:r w:rsidR="00E261C9">
        <w:rPr>
          <w:b/>
          <w:bCs/>
          <w:sz w:val="24"/>
          <w:szCs w:val="24"/>
        </w:rPr>
        <w:t xml:space="preserve">                </w:t>
      </w:r>
      <w:r w:rsidR="00E908C8" w:rsidRPr="00D62C74">
        <w:rPr>
          <w:b/>
          <w:bCs/>
          <w:sz w:val="24"/>
          <w:szCs w:val="24"/>
        </w:rPr>
        <w:t xml:space="preserve">     </w:t>
      </w:r>
      <w:r w:rsidR="006B674E">
        <w:rPr>
          <w:b/>
          <w:bCs/>
          <w:sz w:val="24"/>
          <w:szCs w:val="24"/>
        </w:rPr>
        <w:t xml:space="preserve">  </w:t>
      </w:r>
      <w:proofErr w:type="gramStart"/>
      <w:r w:rsidR="006B674E">
        <w:rPr>
          <w:b/>
          <w:bCs/>
          <w:sz w:val="24"/>
          <w:szCs w:val="24"/>
        </w:rPr>
        <w:t>от  «</w:t>
      </w:r>
      <w:proofErr w:type="gramEnd"/>
      <w:r w:rsidR="00BA3187">
        <w:rPr>
          <w:b/>
          <w:bCs/>
          <w:sz w:val="24"/>
          <w:szCs w:val="24"/>
        </w:rPr>
        <w:t>31</w:t>
      </w:r>
      <w:r w:rsidR="00FF5905">
        <w:rPr>
          <w:b/>
          <w:bCs/>
          <w:sz w:val="24"/>
          <w:szCs w:val="24"/>
        </w:rPr>
        <w:t xml:space="preserve">» </w:t>
      </w:r>
      <w:r w:rsidR="006B674E">
        <w:rPr>
          <w:b/>
          <w:bCs/>
          <w:sz w:val="24"/>
          <w:szCs w:val="24"/>
        </w:rPr>
        <w:t>января 2024</w:t>
      </w:r>
      <w:r w:rsidR="00FF5905">
        <w:rPr>
          <w:b/>
          <w:bCs/>
          <w:sz w:val="24"/>
          <w:szCs w:val="24"/>
        </w:rPr>
        <w:t xml:space="preserve"> г. №</w:t>
      </w:r>
      <w:r w:rsidR="006B674E">
        <w:rPr>
          <w:b/>
          <w:bCs/>
          <w:sz w:val="24"/>
          <w:szCs w:val="24"/>
        </w:rPr>
        <w:t xml:space="preserve"> </w:t>
      </w:r>
      <w:r w:rsidR="00E908C8" w:rsidRPr="00E908C8">
        <w:rPr>
          <w:b/>
          <w:bCs/>
          <w:sz w:val="24"/>
          <w:szCs w:val="24"/>
        </w:rPr>
        <w:t>10</w:t>
      </w:r>
    </w:p>
    <w:p w14:paraId="44932E34" w14:textId="77777777" w:rsidR="00E3315A" w:rsidRDefault="00E3315A" w:rsidP="00496F37">
      <w:pPr>
        <w:pStyle w:val="a5"/>
        <w:ind w:firstLine="0"/>
        <w:jc w:val="left"/>
        <w:rPr>
          <w:rFonts w:ascii="Times New Roman" w:hAnsi="Times New Roman" w:cs="Times New Roman"/>
          <w:b/>
          <w:bCs/>
        </w:rPr>
      </w:pPr>
    </w:p>
    <w:p w14:paraId="2323648F" w14:textId="699971BE" w:rsidR="00E976AA" w:rsidRPr="00B11766" w:rsidRDefault="00E976AA" w:rsidP="00E976AA">
      <w:pPr>
        <w:pStyle w:val="a5"/>
        <w:ind w:firstLine="284"/>
        <w:rPr>
          <w:rFonts w:ascii="Times New Roman" w:hAnsi="Times New Roman" w:cs="Times New Roman"/>
          <w:b/>
          <w:bCs/>
        </w:rPr>
      </w:pPr>
      <w:r w:rsidRPr="005D1D97">
        <w:rPr>
          <w:rFonts w:ascii="Times New Roman" w:hAnsi="Times New Roman" w:cs="Times New Roman"/>
          <w:b/>
          <w:bCs/>
        </w:rPr>
        <w:t xml:space="preserve">Изменения и дополнения </w:t>
      </w:r>
      <w:r w:rsidR="00EE7045" w:rsidRPr="005D1D97">
        <w:rPr>
          <w:rFonts w:ascii="Times New Roman" w:hAnsi="Times New Roman" w:cs="Times New Roman"/>
          <w:b/>
          <w:bCs/>
        </w:rPr>
        <w:t xml:space="preserve">№ </w:t>
      </w:r>
      <w:r w:rsidR="006B674E">
        <w:rPr>
          <w:rFonts w:ascii="Times New Roman" w:hAnsi="Times New Roman" w:cs="Times New Roman"/>
          <w:b/>
          <w:bCs/>
        </w:rPr>
        <w:t>25</w:t>
      </w:r>
    </w:p>
    <w:p w14:paraId="1FD58F6D" w14:textId="77777777" w:rsidR="00E976AA" w:rsidRPr="005D1D97" w:rsidRDefault="00E976AA" w:rsidP="00E976AA">
      <w:pPr>
        <w:pStyle w:val="ConsTitle"/>
        <w:widowControl/>
        <w:jc w:val="center"/>
        <w:rPr>
          <w:rFonts w:ascii="Times New Roman" w:hAnsi="Times New Roman" w:cs="Times New Roman"/>
          <w:sz w:val="24"/>
          <w:szCs w:val="24"/>
        </w:rPr>
      </w:pPr>
      <w:r w:rsidRPr="005D1D97">
        <w:rPr>
          <w:rFonts w:ascii="Times New Roman" w:hAnsi="Times New Roman" w:cs="Times New Roman"/>
          <w:b w:val="0"/>
          <w:bCs w:val="0"/>
          <w:sz w:val="24"/>
          <w:szCs w:val="24"/>
        </w:rPr>
        <w:t xml:space="preserve"> </w:t>
      </w:r>
      <w:r w:rsidRPr="005D1D97">
        <w:rPr>
          <w:rFonts w:ascii="Times New Roman" w:hAnsi="Times New Roman" w:cs="Times New Roman"/>
          <w:sz w:val="24"/>
          <w:szCs w:val="24"/>
        </w:rPr>
        <w:t>в Правила доверительного управления</w:t>
      </w:r>
    </w:p>
    <w:p w14:paraId="5EEC1B64" w14:textId="77777777" w:rsidR="00961D05" w:rsidRPr="005D1D97" w:rsidRDefault="00E976AA" w:rsidP="00E976AA">
      <w:pPr>
        <w:pStyle w:val="ConsTitle"/>
        <w:jc w:val="center"/>
        <w:rPr>
          <w:rFonts w:ascii="Times New Roman" w:hAnsi="Times New Roman" w:cs="Times New Roman"/>
          <w:sz w:val="24"/>
          <w:szCs w:val="24"/>
        </w:rPr>
      </w:pPr>
      <w:r w:rsidRPr="005D1D97">
        <w:rPr>
          <w:rFonts w:ascii="Times New Roman" w:hAnsi="Times New Roman" w:cs="Times New Roman"/>
          <w:sz w:val="24"/>
          <w:szCs w:val="24"/>
        </w:rPr>
        <w:t xml:space="preserve"> </w:t>
      </w:r>
      <w:r w:rsidR="00961D05" w:rsidRPr="005D1D97">
        <w:rPr>
          <w:rFonts w:ascii="Times New Roman" w:hAnsi="Times New Roman" w:cs="Times New Roman"/>
          <w:sz w:val="24"/>
          <w:szCs w:val="24"/>
        </w:rPr>
        <w:t xml:space="preserve">Открытым </w:t>
      </w:r>
      <w:r w:rsidRPr="005D1D97">
        <w:rPr>
          <w:rFonts w:ascii="Times New Roman" w:hAnsi="Times New Roman" w:cs="Times New Roman"/>
          <w:sz w:val="24"/>
          <w:szCs w:val="24"/>
        </w:rPr>
        <w:t xml:space="preserve">паевым инвестиционным фондом </w:t>
      </w:r>
      <w:r w:rsidR="00B812AE">
        <w:rPr>
          <w:rFonts w:ascii="Times New Roman" w:hAnsi="Times New Roman" w:cs="Times New Roman"/>
          <w:sz w:val="24"/>
          <w:szCs w:val="24"/>
        </w:rPr>
        <w:t>рыночных финансовых инструментов</w:t>
      </w:r>
    </w:p>
    <w:p w14:paraId="22E3C085" w14:textId="56B6BE18" w:rsidR="005974E1" w:rsidRPr="005D1D97" w:rsidRDefault="00ED20DB" w:rsidP="005974E1">
      <w:pPr>
        <w:pStyle w:val="ConsTitle"/>
        <w:jc w:val="center"/>
        <w:rPr>
          <w:rFonts w:ascii="Times New Roman" w:hAnsi="Times New Roman" w:cs="Times New Roman"/>
          <w:sz w:val="24"/>
          <w:szCs w:val="24"/>
        </w:rPr>
      </w:pPr>
      <w:r w:rsidRPr="005D1D97">
        <w:rPr>
          <w:rFonts w:ascii="Times New Roman" w:hAnsi="Times New Roman" w:cs="Times New Roman"/>
          <w:spacing w:val="-1"/>
          <w:sz w:val="24"/>
          <w:szCs w:val="24"/>
        </w:rPr>
        <w:t xml:space="preserve">«ТКБ </w:t>
      </w:r>
      <w:proofErr w:type="spellStart"/>
      <w:r w:rsidR="00B11766">
        <w:rPr>
          <w:rFonts w:ascii="Times New Roman" w:hAnsi="Times New Roman" w:cs="Times New Roman"/>
          <w:spacing w:val="-1"/>
          <w:sz w:val="24"/>
          <w:szCs w:val="24"/>
        </w:rPr>
        <w:t>Инвестмент</w:t>
      </w:r>
      <w:proofErr w:type="spellEnd"/>
      <w:r w:rsidR="00B11766">
        <w:rPr>
          <w:rFonts w:ascii="Times New Roman" w:hAnsi="Times New Roman" w:cs="Times New Roman"/>
          <w:spacing w:val="-1"/>
          <w:sz w:val="24"/>
          <w:szCs w:val="24"/>
        </w:rPr>
        <w:t xml:space="preserve"> </w:t>
      </w:r>
      <w:proofErr w:type="spellStart"/>
      <w:r w:rsidR="00B11766">
        <w:rPr>
          <w:rFonts w:ascii="Times New Roman" w:hAnsi="Times New Roman" w:cs="Times New Roman"/>
          <w:spacing w:val="-1"/>
          <w:sz w:val="24"/>
          <w:szCs w:val="24"/>
        </w:rPr>
        <w:t>Партнерс</w:t>
      </w:r>
      <w:proofErr w:type="spellEnd"/>
      <w:r w:rsidRPr="005D1D97">
        <w:rPr>
          <w:rFonts w:ascii="Times New Roman" w:hAnsi="Times New Roman" w:cs="Times New Roman"/>
          <w:spacing w:val="-1"/>
          <w:sz w:val="24"/>
          <w:szCs w:val="24"/>
        </w:rPr>
        <w:t xml:space="preserve"> –</w:t>
      </w:r>
      <w:r w:rsidR="00B20607" w:rsidRPr="005D1D97">
        <w:rPr>
          <w:rFonts w:ascii="Times New Roman" w:hAnsi="Times New Roman" w:cs="Times New Roman"/>
          <w:spacing w:val="-1"/>
          <w:sz w:val="24"/>
          <w:szCs w:val="24"/>
        </w:rPr>
        <w:t xml:space="preserve"> </w:t>
      </w:r>
      <w:r w:rsidR="009D2482" w:rsidRPr="005D1D97">
        <w:rPr>
          <w:rFonts w:ascii="Times New Roman" w:hAnsi="Times New Roman" w:cs="Times New Roman"/>
          <w:spacing w:val="-1"/>
          <w:sz w:val="24"/>
          <w:szCs w:val="24"/>
        </w:rPr>
        <w:t xml:space="preserve">Фонд </w:t>
      </w:r>
      <w:r w:rsidR="00EC504B">
        <w:rPr>
          <w:rFonts w:ascii="Times New Roman" w:hAnsi="Times New Roman" w:cs="Times New Roman"/>
          <w:spacing w:val="-1"/>
          <w:sz w:val="24"/>
          <w:szCs w:val="24"/>
        </w:rPr>
        <w:t xml:space="preserve">валютных </w:t>
      </w:r>
      <w:r w:rsidR="009D2482" w:rsidRPr="005D1D97">
        <w:rPr>
          <w:rFonts w:ascii="Times New Roman" w:hAnsi="Times New Roman" w:cs="Times New Roman"/>
          <w:spacing w:val="-1"/>
          <w:sz w:val="24"/>
          <w:szCs w:val="24"/>
        </w:rPr>
        <w:t>облигаций</w:t>
      </w:r>
      <w:r w:rsidR="005974E1" w:rsidRPr="005D1D97">
        <w:rPr>
          <w:rFonts w:ascii="Times New Roman" w:hAnsi="Times New Roman" w:cs="Times New Roman"/>
          <w:sz w:val="24"/>
          <w:szCs w:val="24"/>
        </w:rPr>
        <w:t>»</w:t>
      </w:r>
    </w:p>
    <w:p w14:paraId="165D6518" w14:textId="77777777" w:rsidR="005974E1" w:rsidRDefault="005974E1" w:rsidP="008F5001">
      <w:pPr>
        <w:pStyle w:val="a5"/>
        <w:spacing w:after="60"/>
        <w:ind w:firstLine="0"/>
        <w:jc w:val="left"/>
        <w:rPr>
          <w:rFonts w:ascii="Times New Roman" w:hAnsi="Times New Roman" w:cs="Times New Roman"/>
          <w:sz w:val="20"/>
          <w:szCs w:val="20"/>
        </w:rPr>
      </w:pPr>
    </w:p>
    <w:p w14:paraId="6BAF504A" w14:textId="77777777" w:rsidR="00EC504B" w:rsidRDefault="00EC504B" w:rsidP="00EC504B">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Pr>
          <w:rFonts w:ascii="Times New Roman" w:hAnsi="Times New Roman" w:cs="Times New Roman"/>
          <w:b w:val="0"/>
          <w:sz w:val="20"/>
          <w:szCs w:val="20"/>
        </w:rPr>
        <w:t>Инвестмент</w:t>
      </w:r>
      <w:proofErr w:type="spellEnd"/>
      <w:r>
        <w:rPr>
          <w:rFonts w:ascii="Times New Roman" w:hAnsi="Times New Roman" w:cs="Times New Roman"/>
          <w:b w:val="0"/>
          <w:sz w:val="20"/>
          <w:szCs w:val="20"/>
        </w:rPr>
        <w:t xml:space="preserve"> </w:t>
      </w:r>
      <w:proofErr w:type="spellStart"/>
      <w:r>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Pr>
          <w:rFonts w:ascii="Times New Roman" w:hAnsi="Times New Roman" w:cs="Times New Roman"/>
          <w:b w:val="0"/>
          <w:sz w:val="20"/>
          <w:szCs w:val="20"/>
        </w:rPr>
        <w:t xml:space="preserve"> Фонд валютных облигаций</w:t>
      </w:r>
      <w:r w:rsidRPr="005974E1">
        <w:rPr>
          <w:rFonts w:ascii="Times New Roman" w:hAnsi="Times New Roman" w:cs="Times New Roman"/>
          <w:b w:val="0"/>
          <w:sz w:val="20"/>
          <w:szCs w:val="20"/>
        </w:rPr>
        <w:t>», зарегистрированные Ф</w:t>
      </w:r>
      <w:r>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Pr="0027312A">
        <w:rPr>
          <w:rFonts w:ascii="Times New Roman" w:hAnsi="Times New Roman" w:cs="Times New Roman"/>
          <w:b w:val="0"/>
          <w:sz w:val="20"/>
          <w:szCs w:val="20"/>
        </w:rPr>
        <w:t>0</w:t>
      </w:r>
      <w:r w:rsidRPr="005974E1">
        <w:rPr>
          <w:rFonts w:ascii="Times New Roman" w:hAnsi="Times New Roman" w:cs="Times New Roman"/>
          <w:b w:val="0"/>
          <w:sz w:val="20"/>
          <w:szCs w:val="20"/>
        </w:rPr>
        <w:t> </w:t>
      </w:r>
      <w:r>
        <w:rPr>
          <w:rFonts w:ascii="Times New Roman" w:hAnsi="Times New Roman" w:cs="Times New Roman"/>
          <w:b w:val="0"/>
          <w:sz w:val="20"/>
          <w:szCs w:val="20"/>
        </w:rPr>
        <w:t>сентября</w:t>
      </w:r>
      <w:r w:rsidRPr="005974E1">
        <w:rPr>
          <w:rFonts w:ascii="Times New Roman" w:hAnsi="Times New Roman" w:cs="Times New Roman"/>
          <w:b w:val="0"/>
          <w:sz w:val="20"/>
          <w:szCs w:val="20"/>
        </w:rPr>
        <w:t xml:space="preserve"> 200</w:t>
      </w:r>
      <w:r>
        <w:rPr>
          <w:rFonts w:ascii="Times New Roman" w:hAnsi="Times New Roman" w:cs="Times New Roman"/>
          <w:b w:val="0"/>
          <w:sz w:val="20"/>
          <w:szCs w:val="20"/>
        </w:rPr>
        <w:t>7 г. за №</w:t>
      </w:r>
      <w:r w:rsidRPr="005974E1">
        <w:rPr>
          <w:rFonts w:ascii="Times New Roman" w:hAnsi="Times New Roman" w:cs="Times New Roman"/>
          <w:b w:val="0"/>
          <w:sz w:val="20"/>
          <w:szCs w:val="20"/>
        </w:rPr>
        <w:t>0</w:t>
      </w:r>
      <w:r w:rsidRPr="0027312A">
        <w:rPr>
          <w:rFonts w:ascii="Times New Roman" w:hAnsi="Times New Roman" w:cs="Times New Roman"/>
          <w:b w:val="0"/>
          <w:sz w:val="20"/>
          <w:szCs w:val="20"/>
        </w:rPr>
        <w:t>99</w:t>
      </w:r>
      <w:r>
        <w:rPr>
          <w:rFonts w:ascii="Times New Roman" w:hAnsi="Times New Roman" w:cs="Times New Roman"/>
          <w:b w:val="0"/>
          <w:sz w:val="20"/>
          <w:szCs w:val="20"/>
        </w:rPr>
        <w:t>1</w:t>
      </w:r>
      <w:r w:rsidRPr="005974E1">
        <w:rPr>
          <w:rFonts w:ascii="Times New Roman" w:hAnsi="Times New Roman" w:cs="Times New Roman"/>
          <w:b w:val="0"/>
          <w:sz w:val="20"/>
          <w:szCs w:val="20"/>
        </w:rPr>
        <w:t>-</w:t>
      </w:r>
      <w:r w:rsidRPr="0027312A">
        <w:rPr>
          <w:rFonts w:ascii="Times New Roman" w:hAnsi="Times New Roman" w:cs="Times New Roman"/>
          <w:b w:val="0"/>
          <w:sz w:val="20"/>
          <w:szCs w:val="20"/>
        </w:rPr>
        <w:t>94131990</w:t>
      </w:r>
      <w:r w:rsidRPr="005974E1">
        <w:rPr>
          <w:rFonts w:ascii="Times New Roman" w:hAnsi="Times New Roman" w:cs="Times New Roman"/>
          <w:b w:val="0"/>
          <w:sz w:val="20"/>
          <w:szCs w:val="20"/>
        </w:rPr>
        <w:t>, следующие изменения и дополнения:</w:t>
      </w:r>
      <w:r w:rsidRPr="005974E1">
        <w:rPr>
          <w:b w:val="0"/>
          <w:sz w:val="20"/>
          <w:szCs w:val="20"/>
        </w:rPr>
        <w:t xml:space="preserve"> </w:t>
      </w:r>
    </w:p>
    <w:p w14:paraId="37E86773"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1A1A25" w14:paraId="0DD30C33" w14:textId="77777777" w:rsidTr="00340CD9">
        <w:trPr>
          <w:trHeight w:val="537"/>
        </w:trPr>
        <w:tc>
          <w:tcPr>
            <w:tcW w:w="568" w:type="dxa"/>
            <w:shd w:val="clear" w:color="auto" w:fill="F3F3F3"/>
          </w:tcPr>
          <w:p w14:paraId="69D5857C" w14:textId="77777777" w:rsidR="00E44D5F" w:rsidRPr="001A1A25" w:rsidRDefault="00E44D5F" w:rsidP="00576992">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 п/п</w:t>
            </w:r>
          </w:p>
        </w:tc>
        <w:tc>
          <w:tcPr>
            <w:tcW w:w="1076" w:type="dxa"/>
            <w:shd w:val="clear" w:color="auto" w:fill="F3F3F3"/>
          </w:tcPr>
          <w:p w14:paraId="3F6ED6AA" w14:textId="77777777" w:rsidR="00E44D5F" w:rsidRPr="001A1A25" w:rsidRDefault="00E44D5F" w:rsidP="00576992">
            <w:pPr>
              <w:autoSpaceDE/>
              <w:autoSpaceDN/>
              <w:jc w:val="center"/>
            </w:pPr>
            <w:r w:rsidRPr="001A1A25">
              <w:t xml:space="preserve">Номер </w:t>
            </w:r>
            <w:proofErr w:type="spellStart"/>
            <w:proofErr w:type="gramStart"/>
            <w:r w:rsidRPr="001A1A25">
              <w:t>редакти-руемого</w:t>
            </w:r>
            <w:proofErr w:type="spellEnd"/>
            <w:proofErr w:type="gramEnd"/>
          </w:p>
          <w:p w14:paraId="1A2E11D3" w14:textId="77777777" w:rsidR="00E44D5F" w:rsidRPr="001A1A25" w:rsidRDefault="00E44D5F" w:rsidP="00576992">
            <w:pPr>
              <w:autoSpaceDE/>
              <w:autoSpaceDN/>
              <w:jc w:val="center"/>
            </w:pPr>
            <w:r w:rsidRPr="001A1A25">
              <w:t>пункта</w:t>
            </w:r>
          </w:p>
        </w:tc>
        <w:tc>
          <w:tcPr>
            <w:tcW w:w="4170" w:type="dxa"/>
            <w:shd w:val="clear" w:color="auto" w:fill="F3F3F3"/>
            <w:vAlign w:val="center"/>
          </w:tcPr>
          <w:p w14:paraId="746E8BDD" w14:textId="77777777" w:rsidR="00E44D5F" w:rsidRPr="001A1A25" w:rsidRDefault="00E44D5F" w:rsidP="00E44D5F">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Пункт в прежней редакции</w:t>
            </w:r>
          </w:p>
        </w:tc>
        <w:tc>
          <w:tcPr>
            <w:tcW w:w="4253" w:type="dxa"/>
            <w:shd w:val="clear" w:color="auto" w:fill="F3F3F3"/>
            <w:vAlign w:val="center"/>
          </w:tcPr>
          <w:p w14:paraId="4FF890AD" w14:textId="77777777" w:rsidR="00E44D5F" w:rsidRPr="001A1A25" w:rsidRDefault="00E44D5F" w:rsidP="00E44D5F">
            <w:pPr>
              <w:pStyle w:val="prg3"/>
              <w:numPr>
                <w:ilvl w:val="0"/>
                <w:numId w:val="0"/>
              </w:numPr>
              <w:jc w:val="center"/>
              <w:rPr>
                <w:rFonts w:ascii="Times New Roman" w:hAnsi="Times New Roman" w:cs="Times New Roman"/>
              </w:rPr>
            </w:pPr>
            <w:r w:rsidRPr="001A1A25">
              <w:rPr>
                <w:rFonts w:ascii="Times New Roman" w:hAnsi="Times New Roman" w:cs="Times New Roman"/>
              </w:rPr>
              <w:t>Пункт в новой редакции</w:t>
            </w:r>
          </w:p>
        </w:tc>
      </w:tr>
      <w:tr w:rsidR="0078090D" w:rsidRPr="001A1A25" w14:paraId="425B1CD7" w14:textId="77777777" w:rsidTr="00027326">
        <w:trPr>
          <w:trHeight w:val="537"/>
        </w:trPr>
        <w:tc>
          <w:tcPr>
            <w:tcW w:w="568" w:type="dxa"/>
            <w:shd w:val="clear" w:color="auto" w:fill="auto"/>
          </w:tcPr>
          <w:p w14:paraId="35E0312E" w14:textId="45834F7E" w:rsidR="0078090D" w:rsidRPr="0078090D" w:rsidRDefault="0078090D"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w:t>
            </w:r>
          </w:p>
        </w:tc>
        <w:tc>
          <w:tcPr>
            <w:tcW w:w="1076" w:type="dxa"/>
            <w:shd w:val="clear" w:color="auto" w:fill="auto"/>
          </w:tcPr>
          <w:p w14:paraId="74CB9151" w14:textId="58F50A48" w:rsidR="0078090D" w:rsidRPr="0078090D" w:rsidRDefault="0078090D" w:rsidP="00576992">
            <w:pPr>
              <w:autoSpaceDE/>
              <w:autoSpaceDN/>
              <w:jc w:val="center"/>
            </w:pPr>
            <w:r>
              <w:t>1.</w:t>
            </w:r>
          </w:p>
        </w:tc>
        <w:tc>
          <w:tcPr>
            <w:tcW w:w="4170" w:type="dxa"/>
            <w:shd w:val="clear" w:color="auto" w:fill="auto"/>
            <w:vAlign w:val="center"/>
          </w:tcPr>
          <w:p w14:paraId="4B0855CF" w14:textId="77777777" w:rsidR="0078090D" w:rsidRPr="0078090D" w:rsidRDefault="0078090D" w:rsidP="0078090D">
            <w:pPr>
              <w:autoSpaceDE/>
              <w:autoSpaceDN/>
              <w:contextualSpacing/>
              <w:jc w:val="both"/>
              <w:rPr>
                <w:sz w:val="22"/>
                <w:szCs w:val="22"/>
              </w:rPr>
            </w:pPr>
            <w:r w:rsidRPr="0078090D">
              <w:rPr>
                <w:sz w:val="22"/>
                <w:szCs w:val="22"/>
              </w:rPr>
              <w:t xml:space="preserve">Полное название паевого инвестиционного фонда (далее – фонд): Открытый паевой инвестиционный фонд рыночных финансовых инструментов «ТКБ </w:t>
            </w:r>
            <w:proofErr w:type="spellStart"/>
            <w:r w:rsidRPr="0078090D">
              <w:rPr>
                <w:sz w:val="22"/>
                <w:szCs w:val="22"/>
              </w:rPr>
              <w:t>Инвестмент</w:t>
            </w:r>
            <w:proofErr w:type="spellEnd"/>
            <w:r w:rsidRPr="0078090D">
              <w:rPr>
                <w:sz w:val="22"/>
                <w:szCs w:val="22"/>
              </w:rPr>
              <w:t xml:space="preserve"> </w:t>
            </w:r>
            <w:proofErr w:type="spellStart"/>
            <w:r w:rsidRPr="0078090D">
              <w:rPr>
                <w:sz w:val="22"/>
                <w:szCs w:val="22"/>
              </w:rPr>
              <w:t>Партнерс</w:t>
            </w:r>
            <w:proofErr w:type="spellEnd"/>
            <w:r w:rsidRPr="0078090D">
              <w:rPr>
                <w:sz w:val="22"/>
                <w:szCs w:val="22"/>
              </w:rPr>
              <w:t xml:space="preserve"> – Фонд валютных облигаций».</w:t>
            </w:r>
          </w:p>
          <w:p w14:paraId="19D0C86F" w14:textId="77777777" w:rsidR="0078090D" w:rsidRPr="0078090D" w:rsidRDefault="0078090D" w:rsidP="0078090D">
            <w:pPr>
              <w:autoSpaceDE/>
              <w:autoSpaceDN/>
              <w:jc w:val="both"/>
              <w:rPr>
                <w:sz w:val="22"/>
                <w:szCs w:val="22"/>
                <w:lang w:eastAsia="en-US"/>
              </w:rPr>
            </w:pPr>
            <w:r w:rsidRPr="0078090D">
              <w:rPr>
                <w:sz w:val="22"/>
                <w:szCs w:val="22"/>
                <w:lang w:eastAsia="en-US"/>
              </w:rPr>
              <w:t xml:space="preserve">Наименование фонда на английском языке: </w:t>
            </w:r>
            <w:r w:rsidRPr="0078090D">
              <w:rPr>
                <w:sz w:val="22"/>
                <w:szCs w:val="22"/>
                <w:lang w:val="en-US" w:eastAsia="en-US"/>
              </w:rPr>
              <w:t>TKB</w:t>
            </w:r>
            <w:r w:rsidRPr="0078090D">
              <w:rPr>
                <w:sz w:val="22"/>
                <w:szCs w:val="22"/>
                <w:lang w:eastAsia="en-US"/>
              </w:rPr>
              <w:t xml:space="preserve"> </w:t>
            </w:r>
            <w:r w:rsidRPr="0078090D">
              <w:rPr>
                <w:sz w:val="22"/>
                <w:szCs w:val="22"/>
                <w:lang w:val="en-US" w:eastAsia="en-US"/>
              </w:rPr>
              <w:t>Investment</w:t>
            </w:r>
            <w:r w:rsidRPr="0078090D">
              <w:rPr>
                <w:sz w:val="22"/>
                <w:szCs w:val="22"/>
                <w:lang w:eastAsia="en-US"/>
              </w:rPr>
              <w:t xml:space="preserve"> </w:t>
            </w:r>
            <w:r w:rsidRPr="0078090D">
              <w:rPr>
                <w:sz w:val="22"/>
                <w:szCs w:val="22"/>
                <w:lang w:val="en-US" w:eastAsia="en-US"/>
              </w:rPr>
              <w:t>Partners</w:t>
            </w:r>
            <w:r w:rsidRPr="0078090D">
              <w:rPr>
                <w:sz w:val="22"/>
                <w:szCs w:val="22"/>
                <w:lang w:eastAsia="en-US"/>
              </w:rPr>
              <w:t xml:space="preserve"> –</w:t>
            </w:r>
            <w:r w:rsidRPr="0078090D">
              <w:rPr>
                <w:sz w:val="22"/>
                <w:szCs w:val="22"/>
                <w:lang w:val="en-US" w:eastAsia="en-US"/>
              </w:rPr>
              <w:t> Bond</w:t>
            </w:r>
            <w:r w:rsidRPr="0078090D">
              <w:rPr>
                <w:sz w:val="22"/>
                <w:szCs w:val="22"/>
                <w:lang w:eastAsia="en-US"/>
              </w:rPr>
              <w:t xml:space="preserve"> </w:t>
            </w:r>
            <w:r w:rsidRPr="0078090D">
              <w:rPr>
                <w:sz w:val="22"/>
                <w:szCs w:val="22"/>
                <w:lang w:val="en-US" w:eastAsia="en-US"/>
              </w:rPr>
              <w:t>Global</w:t>
            </w:r>
            <w:r w:rsidRPr="0078090D">
              <w:rPr>
                <w:sz w:val="22"/>
                <w:szCs w:val="22"/>
                <w:lang w:eastAsia="en-US"/>
              </w:rPr>
              <w:t xml:space="preserve"> </w:t>
            </w:r>
            <w:r w:rsidRPr="005000D7">
              <w:rPr>
                <w:sz w:val="22"/>
                <w:szCs w:val="22"/>
                <w:lang w:val="en-US" w:eastAsia="en-US"/>
              </w:rPr>
              <w:t>USD</w:t>
            </w:r>
            <w:r w:rsidRPr="0078090D">
              <w:rPr>
                <w:sz w:val="22"/>
                <w:szCs w:val="22"/>
                <w:lang w:eastAsia="en-US"/>
              </w:rPr>
              <w:t>.</w:t>
            </w:r>
          </w:p>
          <w:p w14:paraId="4092C7F0" w14:textId="77777777" w:rsidR="0078090D" w:rsidRPr="00DA4402" w:rsidRDefault="0078090D" w:rsidP="00544CAF">
            <w:pPr>
              <w:autoSpaceDE/>
              <w:autoSpaceDN/>
              <w:spacing w:before="60" w:after="60"/>
              <w:jc w:val="both"/>
              <w:rPr>
                <w:color w:val="000000" w:themeColor="text1"/>
                <w:sz w:val="22"/>
                <w:szCs w:val="22"/>
                <w:lang w:eastAsia="en-US"/>
              </w:rPr>
            </w:pPr>
          </w:p>
        </w:tc>
        <w:tc>
          <w:tcPr>
            <w:tcW w:w="4253" w:type="dxa"/>
            <w:shd w:val="clear" w:color="auto" w:fill="auto"/>
            <w:vAlign w:val="center"/>
          </w:tcPr>
          <w:p w14:paraId="72BC2C48" w14:textId="77777777" w:rsidR="0078090D" w:rsidRPr="0078090D" w:rsidRDefault="0078090D" w:rsidP="0078090D">
            <w:pPr>
              <w:autoSpaceDE/>
              <w:autoSpaceDN/>
              <w:contextualSpacing/>
              <w:jc w:val="both"/>
              <w:rPr>
                <w:sz w:val="22"/>
                <w:szCs w:val="22"/>
              </w:rPr>
            </w:pPr>
            <w:r w:rsidRPr="0078090D">
              <w:rPr>
                <w:sz w:val="22"/>
                <w:szCs w:val="22"/>
              </w:rPr>
              <w:t xml:space="preserve">Полное название паевого инвестиционного фонда (далее – фонд): Открытый паевой инвестиционный фонд рыночных финансовых инструментов «ТКБ </w:t>
            </w:r>
            <w:proofErr w:type="spellStart"/>
            <w:r w:rsidRPr="0078090D">
              <w:rPr>
                <w:sz w:val="22"/>
                <w:szCs w:val="22"/>
              </w:rPr>
              <w:t>Инвестмент</w:t>
            </w:r>
            <w:proofErr w:type="spellEnd"/>
            <w:r w:rsidRPr="0078090D">
              <w:rPr>
                <w:sz w:val="22"/>
                <w:szCs w:val="22"/>
              </w:rPr>
              <w:t xml:space="preserve"> </w:t>
            </w:r>
            <w:proofErr w:type="spellStart"/>
            <w:r w:rsidRPr="0078090D">
              <w:rPr>
                <w:sz w:val="22"/>
                <w:szCs w:val="22"/>
              </w:rPr>
              <w:t>Партнерс</w:t>
            </w:r>
            <w:proofErr w:type="spellEnd"/>
            <w:r w:rsidRPr="0078090D">
              <w:rPr>
                <w:sz w:val="22"/>
                <w:szCs w:val="22"/>
              </w:rPr>
              <w:t xml:space="preserve"> – Фонд валютных облигаций».</w:t>
            </w:r>
          </w:p>
          <w:p w14:paraId="5A0D113C" w14:textId="74F12574" w:rsidR="0078090D" w:rsidRPr="00D03F48" w:rsidRDefault="0078090D" w:rsidP="0078090D">
            <w:pPr>
              <w:autoSpaceDE/>
              <w:autoSpaceDN/>
              <w:jc w:val="both"/>
              <w:rPr>
                <w:color w:val="000000" w:themeColor="text1"/>
                <w:sz w:val="22"/>
                <w:szCs w:val="22"/>
                <w:lang w:eastAsia="en-US"/>
              </w:rPr>
            </w:pPr>
            <w:r w:rsidRPr="0078090D">
              <w:rPr>
                <w:sz w:val="22"/>
                <w:szCs w:val="22"/>
                <w:lang w:eastAsia="en-US"/>
              </w:rPr>
              <w:t xml:space="preserve">Наименование фонда на английском языке: </w:t>
            </w:r>
            <w:r w:rsidRPr="0078090D">
              <w:rPr>
                <w:sz w:val="22"/>
                <w:szCs w:val="22"/>
                <w:lang w:val="en-US" w:eastAsia="en-US"/>
              </w:rPr>
              <w:t>TKB</w:t>
            </w:r>
            <w:r w:rsidRPr="0078090D">
              <w:rPr>
                <w:sz w:val="22"/>
                <w:szCs w:val="22"/>
                <w:lang w:eastAsia="en-US"/>
              </w:rPr>
              <w:t xml:space="preserve"> </w:t>
            </w:r>
            <w:r w:rsidRPr="0078090D">
              <w:rPr>
                <w:sz w:val="22"/>
                <w:szCs w:val="22"/>
                <w:lang w:val="en-US" w:eastAsia="en-US"/>
              </w:rPr>
              <w:t>Investment</w:t>
            </w:r>
            <w:r w:rsidRPr="0078090D">
              <w:rPr>
                <w:sz w:val="22"/>
                <w:szCs w:val="22"/>
                <w:lang w:eastAsia="en-US"/>
              </w:rPr>
              <w:t xml:space="preserve"> </w:t>
            </w:r>
            <w:r w:rsidRPr="0078090D">
              <w:rPr>
                <w:sz w:val="22"/>
                <w:szCs w:val="22"/>
                <w:lang w:val="en-US" w:eastAsia="en-US"/>
              </w:rPr>
              <w:t>Partners</w:t>
            </w:r>
            <w:r w:rsidRPr="0078090D">
              <w:rPr>
                <w:sz w:val="22"/>
                <w:szCs w:val="22"/>
                <w:lang w:eastAsia="en-US"/>
              </w:rPr>
              <w:t xml:space="preserve"> –</w:t>
            </w:r>
            <w:r w:rsidRPr="0078090D">
              <w:rPr>
                <w:sz w:val="22"/>
                <w:szCs w:val="22"/>
                <w:lang w:val="en-US" w:eastAsia="en-US"/>
              </w:rPr>
              <w:t> Bond</w:t>
            </w:r>
            <w:r w:rsidRPr="0078090D">
              <w:rPr>
                <w:sz w:val="22"/>
                <w:szCs w:val="22"/>
                <w:lang w:eastAsia="en-US"/>
              </w:rPr>
              <w:t xml:space="preserve"> </w:t>
            </w:r>
            <w:r w:rsidRPr="0078090D">
              <w:rPr>
                <w:sz w:val="22"/>
                <w:szCs w:val="22"/>
                <w:lang w:val="en-US" w:eastAsia="en-US"/>
              </w:rPr>
              <w:t>Global</w:t>
            </w:r>
            <w:r w:rsidRPr="0078090D">
              <w:rPr>
                <w:sz w:val="22"/>
                <w:szCs w:val="22"/>
                <w:lang w:eastAsia="en-US"/>
              </w:rPr>
              <w:t>.</w:t>
            </w:r>
          </w:p>
        </w:tc>
      </w:tr>
      <w:tr w:rsidR="00027326" w:rsidRPr="001A1A25" w14:paraId="18093048" w14:textId="77777777" w:rsidTr="00027326">
        <w:trPr>
          <w:trHeight w:val="537"/>
        </w:trPr>
        <w:tc>
          <w:tcPr>
            <w:tcW w:w="568" w:type="dxa"/>
            <w:shd w:val="clear" w:color="auto" w:fill="auto"/>
          </w:tcPr>
          <w:p w14:paraId="7487C1B6" w14:textId="059E6122" w:rsidR="00027326" w:rsidRPr="00941111" w:rsidRDefault="009E3204" w:rsidP="00576992">
            <w:pPr>
              <w:pStyle w:val="prg3"/>
              <w:numPr>
                <w:ilvl w:val="0"/>
                <w:numId w:val="0"/>
              </w:numPr>
              <w:spacing w:line="280" w:lineRule="exact"/>
              <w:jc w:val="center"/>
              <w:rPr>
                <w:rFonts w:ascii="Times New Roman" w:hAnsi="Times New Roman" w:cs="Times New Roman"/>
                <w:kern w:val="0"/>
                <w:lang w:val="en-US"/>
              </w:rPr>
            </w:pPr>
            <w:r>
              <w:rPr>
                <w:rFonts w:ascii="Times New Roman" w:hAnsi="Times New Roman" w:cs="Times New Roman"/>
                <w:kern w:val="0"/>
                <w:lang w:val="en-US"/>
              </w:rPr>
              <w:t>2</w:t>
            </w:r>
          </w:p>
        </w:tc>
        <w:tc>
          <w:tcPr>
            <w:tcW w:w="1076" w:type="dxa"/>
            <w:shd w:val="clear" w:color="auto" w:fill="auto"/>
          </w:tcPr>
          <w:p w14:paraId="171F645F" w14:textId="319D4705" w:rsidR="00027326" w:rsidRPr="00941111" w:rsidRDefault="00544CAF" w:rsidP="00576992">
            <w:pPr>
              <w:autoSpaceDE/>
              <w:autoSpaceDN/>
              <w:jc w:val="center"/>
              <w:rPr>
                <w:lang w:val="en-US"/>
              </w:rPr>
            </w:pPr>
            <w:r>
              <w:rPr>
                <w:lang w:val="en-US"/>
              </w:rPr>
              <w:t>21.</w:t>
            </w:r>
          </w:p>
        </w:tc>
        <w:tc>
          <w:tcPr>
            <w:tcW w:w="4170" w:type="dxa"/>
            <w:shd w:val="clear" w:color="auto" w:fill="auto"/>
            <w:vAlign w:val="center"/>
          </w:tcPr>
          <w:p w14:paraId="62D0DEDC" w14:textId="77777777" w:rsidR="00402133" w:rsidRPr="00402133" w:rsidRDefault="00402133" w:rsidP="002B7007">
            <w:pPr>
              <w:autoSpaceDE/>
              <w:autoSpaceDN/>
              <w:spacing w:before="60" w:after="60"/>
              <w:jc w:val="both"/>
              <w:rPr>
                <w:sz w:val="22"/>
                <w:szCs w:val="22"/>
              </w:rPr>
            </w:pPr>
            <w:r w:rsidRPr="00402133">
              <w:rPr>
                <w:color w:val="000000" w:themeColor="text1"/>
                <w:sz w:val="22"/>
                <w:szCs w:val="22"/>
              </w:rPr>
              <w:t>Сведения о способе реализации управляющей компанией инвестиционной стратегии.</w:t>
            </w:r>
          </w:p>
          <w:p w14:paraId="02027AFD" w14:textId="77777777" w:rsidR="00402133" w:rsidRPr="00402133" w:rsidRDefault="00402133" w:rsidP="00402133">
            <w:pPr>
              <w:contextualSpacing/>
              <w:jc w:val="both"/>
              <w:rPr>
                <w:sz w:val="22"/>
                <w:szCs w:val="22"/>
              </w:rPr>
            </w:pPr>
            <w:r w:rsidRPr="00402133">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 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3434DFF4" w14:textId="77777777" w:rsidR="00402133" w:rsidRPr="00402133" w:rsidRDefault="00402133" w:rsidP="00402133">
            <w:pPr>
              <w:autoSpaceDE/>
              <w:autoSpaceDN/>
              <w:spacing w:before="60" w:after="60"/>
              <w:ind w:firstLine="720"/>
              <w:jc w:val="both"/>
              <w:rPr>
                <w:sz w:val="22"/>
                <w:szCs w:val="22"/>
                <w:lang w:eastAsia="en-US"/>
              </w:rPr>
            </w:pPr>
            <w:r w:rsidRPr="00402133">
              <w:rPr>
                <w:sz w:val="22"/>
                <w:szCs w:val="22"/>
                <w:lang w:eastAsia="en-US"/>
              </w:rPr>
              <w:t>Преимущественным объектом инвестирования являются облигации, номинированные в иностранной валюте.</w:t>
            </w:r>
          </w:p>
          <w:p w14:paraId="6B805547" w14:textId="77777777" w:rsidR="00402133" w:rsidRPr="00402133" w:rsidRDefault="00402133" w:rsidP="00402133">
            <w:pPr>
              <w:autoSpaceDE/>
              <w:autoSpaceDN/>
              <w:spacing w:before="120" w:after="120"/>
              <w:ind w:firstLine="720"/>
              <w:jc w:val="both"/>
              <w:rPr>
                <w:sz w:val="22"/>
                <w:szCs w:val="22"/>
                <w:lang w:eastAsia="en-US"/>
              </w:rPr>
            </w:pPr>
            <w:r w:rsidRPr="00402133">
              <w:rPr>
                <w:sz w:val="22"/>
                <w:szCs w:val="22"/>
                <w:lang w:eastAsia="en-US"/>
              </w:rPr>
              <w:t xml:space="preserve">При формировании и реализации инвестиционной стратегии фонда применяется структурированный, основанный на постоянном контроле рисков подход, который сочетает в себе макроэкономический анализ и тщательный внутренний анализ фундаментальных показателей эмитентов, что позволяет проводить анализ портфеля как </w:t>
            </w:r>
            <w:r w:rsidRPr="00402133">
              <w:rPr>
                <w:color w:val="000000" w:themeColor="text1"/>
                <w:sz w:val="22"/>
                <w:szCs w:val="22"/>
                <w:lang w:eastAsia="en-US"/>
              </w:rPr>
              <w:t>«</w:t>
            </w:r>
            <w:r w:rsidRPr="00402133">
              <w:rPr>
                <w:color w:val="000000" w:themeColor="text1"/>
                <w:sz w:val="22"/>
                <w:szCs w:val="22"/>
                <w:lang w:val="en-US" w:eastAsia="en-US"/>
              </w:rPr>
              <w:t>Top</w:t>
            </w:r>
            <w:r w:rsidRPr="00402133">
              <w:rPr>
                <w:color w:val="000000" w:themeColor="text1"/>
                <w:sz w:val="22"/>
                <w:szCs w:val="22"/>
                <w:lang w:eastAsia="en-US"/>
              </w:rPr>
              <w:t xml:space="preserve"> – </w:t>
            </w:r>
            <w:r w:rsidRPr="00402133">
              <w:rPr>
                <w:color w:val="000000" w:themeColor="text1"/>
                <w:sz w:val="22"/>
                <w:szCs w:val="22"/>
                <w:lang w:val="en-US" w:eastAsia="en-US"/>
              </w:rPr>
              <w:t>Down</w:t>
            </w:r>
            <w:r w:rsidRPr="00402133">
              <w:rPr>
                <w:color w:val="000000" w:themeColor="text1"/>
                <w:sz w:val="22"/>
                <w:szCs w:val="22"/>
                <w:lang w:eastAsia="en-US"/>
              </w:rPr>
              <w:t>» («Сверху – Вниз»)</w:t>
            </w:r>
            <w:r w:rsidRPr="00402133">
              <w:rPr>
                <w:sz w:val="22"/>
                <w:szCs w:val="22"/>
                <w:lang w:eastAsia="en-US"/>
              </w:rPr>
              <w:t xml:space="preserve">, так и </w:t>
            </w:r>
            <w:r w:rsidRPr="00402133">
              <w:rPr>
                <w:color w:val="000000" w:themeColor="text1"/>
                <w:sz w:val="22"/>
                <w:szCs w:val="22"/>
                <w:lang w:eastAsia="en-US"/>
              </w:rPr>
              <w:t>«</w:t>
            </w:r>
            <w:r w:rsidRPr="00402133">
              <w:rPr>
                <w:color w:val="000000" w:themeColor="text1"/>
                <w:sz w:val="22"/>
                <w:szCs w:val="22"/>
                <w:lang w:val="en-US" w:eastAsia="en-US"/>
              </w:rPr>
              <w:t>Bottom</w:t>
            </w:r>
            <w:r w:rsidRPr="00402133">
              <w:rPr>
                <w:color w:val="000000" w:themeColor="text1"/>
                <w:sz w:val="22"/>
                <w:szCs w:val="22"/>
                <w:lang w:eastAsia="en-US"/>
              </w:rPr>
              <w:t xml:space="preserve"> – </w:t>
            </w:r>
            <w:r w:rsidRPr="00402133">
              <w:rPr>
                <w:color w:val="000000" w:themeColor="text1"/>
                <w:sz w:val="22"/>
                <w:szCs w:val="22"/>
                <w:lang w:val="en-US" w:eastAsia="en-US"/>
              </w:rPr>
              <w:t>Up</w:t>
            </w:r>
            <w:r w:rsidRPr="00402133">
              <w:rPr>
                <w:color w:val="000000" w:themeColor="text1"/>
                <w:sz w:val="22"/>
                <w:szCs w:val="22"/>
                <w:lang w:eastAsia="en-US"/>
              </w:rPr>
              <w:t>» («Снизу – Вверх»)</w:t>
            </w:r>
            <w:r w:rsidRPr="00402133">
              <w:rPr>
                <w:sz w:val="22"/>
                <w:szCs w:val="22"/>
                <w:lang w:eastAsia="en-US"/>
              </w:rPr>
              <w:t xml:space="preserve">. При подходе </w:t>
            </w:r>
            <w:r w:rsidRPr="00402133">
              <w:rPr>
                <w:color w:val="000000" w:themeColor="text1"/>
                <w:sz w:val="22"/>
                <w:szCs w:val="22"/>
                <w:lang w:eastAsia="en-US"/>
              </w:rPr>
              <w:t>«</w:t>
            </w:r>
            <w:r w:rsidRPr="00402133">
              <w:rPr>
                <w:color w:val="000000" w:themeColor="text1"/>
                <w:sz w:val="22"/>
                <w:szCs w:val="22"/>
                <w:lang w:val="en-US" w:eastAsia="en-US"/>
              </w:rPr>
              <w:t>Bottom</w:t>
            </w:r>
            <w:r w:rsidRPr="00402133">
              <w:rPr>
                <w:color w:val="000000" w:themeColor="text1"/>
                <w:sz w:val="22"/>
                <w:szCs w:val="22"/>
                <w:lang w:eastAsia="en-US"/>
              </w:rPr>
              <w:t xml:space="preserve"> – </w:t>
            </w:r>
            <w:r w:rsidRPr="00402133">
              <w:rPr>
                <w:color w:val="000000" w:themeColor="text1"/>
                <w:sz w:val="22"/>
                <w:szCs w:val="22"/>
                <w:lang w:val="en-US" w:eastAsia="en-US"/>
              </w:rPr>
              <w:t>Up</w:t>
            </w:r>
            <w:r w:rsidRPr="00402133">
              <w:rPr>
                <w:color w:val="000000" w:themeColor="text1"/>
                <w:sz w:val="22"/>
                <w:szCs w:val="22"/>
                <w:lang w:eastAsia="en-US"/>
              </w:rPr>
              <w:t>» («Снизу – Вверх»)</w:t>
            </w:r>
            <w:r w:rsidRPr="00402133">
              <w:rPr>
                <w:sz w:val="22"/>
                <w:szCs w:val="22"/>
                <w:lang w:eastAsia="en-US"/>
              </w:rPr>
              <w:t xml:space="preserve"> управляющая </w:t>
            </w:r>
            <w:r w:rsidRPr="00402133">
              <w:rPr>
                <w:sz w:val="22"/>
                <w:szCs w:val="22"/>
                <w:lang w:eastAsia="en-US"/>
              </w:rPr>
              <w:lastRenderedPageBreak/>
              <w:t xml:space="preserve">компания использует ряд </w:t>
            </w:r>
            <w:proofErr w:type="spellStart"/>
            <w:r w:rsidRPr="00402133">
              <w:rPr>
                <w:sz w:val="22"/>
                <w:szCs w:val="22"/>
                <w:lang w:eastAsia="en-US"/>
              </w:rPr>
              <w:t>скрининговых</w:t>
            </w:r>
            <w:proofErr w:type="spellEnd"/>
            <w:r w:rsidRPr="00402133">
              <w:rPr>
                <w:sz w:val="22"/>
                <w:szCs w:val="22"/>
                <w:lang w:eastAsia="en-US"/>
              </w:rPr>
              <w:t xml:space="preserve"> подходов, что позволяет сформировать широкую выборку инструментов, которые по оценке управляющей компании имеют больший потенциал для роста по сравнению со среднерыночными значениями.</w:t>
            </w:r>
          </w:p>
          <w:p w14:paraId="35547A22" w14:textId="77777777" w:rsidR="00402133" w:rsidRPr="00402133" w:rsidRDefault="00402133" w:rsidP="00E005E4">
            <w:pPr>
              <w:numPr>
                <w:ilvl w:val="1"/>
                <w:numId w:val="5"/>
              </w:numPr>
              <w:autoSpaceDE/>
              <w:autoSpaceDN/>
              <w:rPr>
                <w:sz w:val="22"/>
                <w:szCs w:val="22"/>
              </w:rPr>
            </w:pPr>
            <w:r w:rsidRPr="00402133">
              <w:rPr>
                <w:sz w:val="22"/>
                <w:szCs w:val="22"/>
              </w:rPr>
              <w:t xml:space="preserve">Макроэкономический анализ </w:t>
            </w:r>
          </w:p>
          <w:p w14:paraId="04DE2F37" w14:textId="77777777" w:rsidR="00402133" w:rsidRPr="00402133" w:rsidRDefault="00402133" w:rsidP="00402133">
            <w:pPr>
              <w:autoSpaceDE/>
              <w:autoSpaceDN/>
              <w:spacing w:before="120"/>
              <w:ind w:firstLine="708"/>
              <w:jc w:val="both"/>
              <w:rPr>
                <w:sz w:val="22"/>
                <w:szCs w:val="22"/>
                <w:lang w:eastAsia="en-US"/>
              </w:rPr>
            </w:pPr>
            <w:r w:rsidRPr="00402133">
              <w:rPr>
                <w:sz w:val="22"/>
                <w:szCs w:val="22"/>
                <w:lang w:eastAsia="en-US"/>
              </w:rPr>
              <w:t>Макроэкономический анализ используется для прогнозирования динамики рынков процентных ставок и позиционирования портфелей на кривой доходности (</w:t>
            </w:r>
            <w:r w:rsidRPr="00402133">
              <w:rPr>
                <w:sz w:val="22"/>
                <w:szCs w:val="22"/>
                <w:lang w:val="en-US" w:eastAsia="en-US"/>
              </w:rPr>
              <w:t>Yield</w:t>
            </w:r>
            <w:r w:rsidRPr="00402133">
              <w:rPr>
                <w:sz w:val="22"/>
                <w:szCs w:val="22"/>
                <w:lang w:eastAsia="en-US"/>
              </w:rPr>
              <w:t xml:space="preserve"> </w:t>
            </w:r>
            <w:r w:rsidRPr="00402133">
              <w:rPr>
                <w:sz w:val="22"/>
                <w:szCs w:val="22"/>
                <w:lang w:val="en-US" w:eastAsia="en-US"/>
              </w:rPr>
              <w:t>Curve</w:t>
            </w:r>
            <w:r w:rsidRPr="00402133">
              <w:rPr>
                <w:sz w:val="22"/>
                <w:szCs w:val="22"/>
                <w:lang w:eastAsia="en-US"/>
              </w:rPr>
              <w:t xml:space="preserve">) с точки зрения </w:t>
            </w:r>
            <w:proofErr w:type="spellStart"/>
            <w:r w:rsidRPr="00402133">
              <w:rPr>
                <w:sz w:val="22"/>
                <w:szCs w:val="22"/>
                <w:lang w:eastAsia="en-US"/>
              </w:rPr>
              <w:t>дюрации</w:t>
            </w:r>
            <w:proofErr w:type="spellEnd"/>
            <w:r w:rsidRPr="00402133">
              <w:rPr>
                <w:sz w:val="22"/>
                <w:szCs w:val="22"/>
                <w:lang w:eastAsia="en-US"/>
              </w:rPr>
              <w:t xml:space="preserve"> (рыночного риска, отражающего степень зависимости цены долгового финансового инструмента, в том числе облигации, от динамики рыночных процентных ставок).</w:t>
            </w:r>
          </w:p>
          <w:p w14:paraId="5AC601AF" w14:textId="77777777" w:rsidR="00402133" w:rsidRPr="00402133" w:rsidRDefault="00402133" w:rsidP="00402133">
            <w:pPr>
              <w:autoSpaceDE/>
              <w:autoSpaceDN/>
              <w:spacing w:before="120" w:after="120"/>
              <w:jc w:val="both"/>
              <w:rPr>
                <w:sz w:val="22"/>
                <w:szCs w:val="22"/>
                <w:lang w:eastAsia="en-US"/>
              </w:rPr>
            </w:pPr>
            <w:r w:rsidRPr="00402133">
              <w:rPr>
                <w:sz w:val="22"/>
                <w:szCs w:val="22"/>
                <w:lang w:eastAsia="en-US"/>
              </w:rPr>
              <w:t>Макроэкономический анализ основывается на формировании ожиданий относительно будущей динамики таких ключевых факторов, как:</w:t>
            </w:r>
          </w:p>
          <w:p w14:paraId="793B72F5" w14:textId="77777777" w:rsidR="00402133" w:rsidRPr="00402133" w:rsidRDefault="00402133" w:rsidP="00E005E4">
            <w:pPr>
              <w:numPr>
                <w:ilvl w:val="0"/>
                <w:numId w:val="6"/>
              </w:numPr>
              <w:suppressAutoHyphens/>
              <w:autoSpaceDE/>
              <w:autoSpaceDN/>
              <w:spacing w:before="120" w:after="120"/>
              <w:jc w:val="both"/>
              <w:rPr>
                <w:sz w:val="22"/>
                <w:szCs w:val="22"/>
              </w:rPr>
            </w:pPr>
            <w:r w:rsidRPr="00402133">
              <w:rPr>
                <w:sz w:val="22"/>
                <w:szCs w:val="22"/>
              </w:rPr>
              <w:t>Локальные факторы экономик стран, в которых эмитентом осуществляется основная деятельность: валовый внутренний продукт (ВВП), уровень инфляции, показатели наблюдаемой и ожидаемой инфляции, показатели государственного бюджета, показатели платежного баланса, состояние промышленности, динамика кредитования банковского сектора, динамика потребления, доходы населения, инвестиции и т.п.</w:t>
            </w:r>
          </w:p>
          <w:p w14:paraId="78B61FC8" w14:textId="77777777" w:rsidR="00402133" w:rsidRPr="00402133" w:rsidRDefault="00402133" w:rsidP="00E005E4">
            <w:pPr>
              <w:numPr>
                <w:ilvl w:val="0"/>
                <w:numId w:val="6"/>
              </w:numPr>
              <w:suppressAutoHyphens/>
              <w:autoSpaceDE/>
              <w:autoSpaceDN/>
              <w:spacing w:before="120" w:after="120"/>
              <w:jc w:val="both"/>
              <w:rPr>
                <w:sz w:val="22"/>
                <w:szCs w:val="22"/>
              </w:rPr>
            </w:pPr>
            <w:r w:rsidRPr="00402133">
              <w:rPr>
                <w:sz w:val="22"/>
                <w:szCs w:val="22"/>
              </w:rPr>
              <w:t>Глобальные факторы:</w:t>
            </w:r>
            <w:r w:rsidRPr="00402133">
              <w:rPr>
                <w:b/>
                <w:sz w:val="22"/>
                <w:szCs w:val="22"/>
              </w:rPr>
              <w:t xml:space="preserve"> </w:t>
            </w:r>
            <w:r w:rsidRPr="00402133">
              <w:rPr>
                <w:sz w:val="22"/>
                <w:szCs w:val="22"/>
              </w:rPr>
              <w:t>ВВП крупнейших экономик мира, спрос и предложение на товарных рынках, уровень ликвидности на мировом рынке, денежно-кредитная и фискальная политика в крупнейших странах и т.п.</w:t>
            </w:r>
          </w:p>
          <w:p w14:paraId="7DEE2261" w14:textId="77777777" w:rsidR="00402133" w:rsidRPr="00402133" w:rsidRDefault="00402133" w:rsidP="00402133">
            <w:pPr>
              <w:autoSpaceDE/>
              <w:autoSpaceDN/>
              <w:spacing w:before="120" w:after="120"/>
              <w:ind w:firstLine="360"/>
              <w:jc w:val="both"/>
              <w:rPr>
                <w:sz w:val="22"/>
                <w:szCs w:val="22"/>
                <w:lang w:eastAsia="en-US"/>
              </w:rPr>
            </w:pPr>
            <w:r w:rsidRPr="00402133">
              <w:rPr>
                <w:sz w:val="22"/>
                <w:szCs w:val="22"/>
                <w:lang w:eastAsia="en-US"/>
              </w:rPr>
              <w:t xml:space="preserve">На основании анализа и сопоставления этих показателей формируется мнение об ожидаемой динамике процентных ставок, форме кривой доходности, а также ожидания по изменению кредитных спрэдов - разницы между доходностью облигации и доходностью аналогичной по срочности </w:t>
            </w:r>
            <w:proofErr w:type="spellStart"/>
            <w:r w:rsidRPr="00402133">
              <w:rPr>
                <w:sz w:val="22"/>
                <w:szCs w:val="22"/>
                <w:lang w:eastAsia="en-US"/>
              </w:rPr>
              <w:t>безрисковой</w:t>
            </w:r>
            <w:proofErr w:type="spellEnd"/>
            <w:r w:rsidRPr="00402133">
              <w:rPr>
                <w:sz w:val="22"/>
                <w:szCs w:val="22"/>
                <w:lang w:eastAsia="en-US"/>
              </w:rPr>
              <w:t xml:space="preserve"> облигации для различных групп кредитных рейтингов (сужение и/или расширение спредов). В качестве </w:t>
            </w:r>
            <w:proofErr w:type="spellStart"/>
            <w:r w:rsidRPr="00402133">
              <w:rPr>
                <w:sz w:val="22"/>
                <w:szCs w:val="22"/>
                <w:lang w:eastAsia="en-US"/>
              </w:rPr>
              <w:t>безрисковой</w:t>
            </w:r>
            <w:proofErr w:type="spellEnd"/>
            <w:r w:rsidRPr="00402133">
              <w:rPr>
                <w:sz w:val="22"/>
                <w:szCs w:val="22"/>
                <w:lang w:eastAsia="en-US"/>
              </w:rPr>
              <w:t xml:space="preserve"> облигации для вычисления кредитного спреда выбирается соответствующая облигация </w:t>
            </w:r>
            <w:r w:rsidRPr="00402133">
              <w:rPr>
                <w:sz w:val="22"/>
                <w:szCs w:val="22"/>
                <w:lang w:eastAsia="en-US"/>
              </w:rPr>
              <w:lastRenderedPageBreak/>
              <w:t xml:space="preserve">государственного займа страны, в валюте которой номинирована сопоставляемая облигация. </w:t>
            </w:r>
          </w:p>
          <w:p w14:paraId="33A9E4A4" w14:textId="77777777" w:rsidR="00402133" w:rsidRPr="00402133" w:rsidRDefault="00402133" w:rsidP="00402133">
            <w:pPr>
              <w:autoSpaceDE/>
              <w:autoSpaceDN/>
              <w:ind w:firstLine="720"/>
              <w:jc w:val="both"/>
              <w:rPr>
                <w:sz w:val="22"/>
                <w:szCs w:val="22"/>
                <w:lang w:eastAsia="en-US"/>
              </w:rPr>
            </w:pPr>
            <w:r w:rsidRPr="00402133">
              <w:rPr>
                <w:sz w:val="22"/>
                <w:szCs w:val="22"/>
                <w:lang w:eastAsia="en-US"/>
              </w:rPr>
              <w:t xml:space="preserve">Инвестирование в конкретные выпуски облигаций производится на основании собственного кредитного анализа, который используется для оценки справедливой доходности облигаций и прогнозирования будущей динамики инструментов относительно общих рыночных показателей. </w:t>
            </w:r>
          </w:p>
          <w:p w14:paraId="17B535BB" w14:textId="77777777" w:rsidR="00402133" w:rsidRPr="00402133" w:rsidRDefault="00402133" w:rsidP="00402133">
            <w:pPr>
              <w:autoSpaceDE/>
              <w:autoSpaceDN/>
              <w:ind w:firstLine="720"/>
              <w:jc w:val="both"/>
              <w:rPr>
                <w:sz w:val="22"/>
                <w:szCs w:val="22"/>
                <w:lang w:eastAsia="en-US"/>
              </w:rPr>
            </w:pPr>
          </w:p>
          <w:p w14:paraId="1DDB0BB8" w14:textId="77777777" w:rsidR="00402133" w:rsidRPr="00402133" w:rsidRDefault="00402133" w:rsidP="00E005E4">
            <w:pPr>
              <w:numPr>
                <w:ilvl w:val="1"/>
                <w:numId w:val="5"/>
              </w:numPr>
              <w:autoSpaceDE/>
              <w:autoSpaceDN/>
              <w:jc w:val="both"/>
              <w:rPr>
                <w:sz w:val="22"/>
                <w:szCs w:val="22"/>
              </w:rPr>
            </w:pPr>
            <w:r w:rsidRPr="00402133">
              <w:rPr>
                <w:sz w:val="22"/>
                <w:szCs w:val="22"/>
              </w:rPr>
              <w:t>Анализ эмитентов</w:t>
            </w:r>
          </w:p>
          <w:p w14:paraId="775D61F0" w14:textId="77777777" w:rsidR="00402133" w:rsidRPr="00402133" w:rsidRDefault="00402133" w:rsidP="00402133">
            <w:pPr>
              <w:autoSpaceDE/>
              <w:autoSpaceDN/>
              <w:ind w:firstLine="360"/>
              <w:jc w:val="both"/>
              <w:rPr>
                <w:sz w:val="22"/>
                <w:szCs w:val="22"/>
                <w:lang w:eastAsia="en-US"/>
              </w:rPr>
            </w:pPr>
            <w:r w:rsidRPr="00402133">
              <w:rPr>
                <w:sz w:val="22"/>
                <w:szCs w:val="22"/>
                <w:lang w:eastAsia="en-US"/>
              </w:rPr>
              <w:t>На первом этапе, в зависимости от результатов макроэкономического анализа, управляющая компания принимает решение о целевом позиционировании портфеля облигаций фонда по рыночному риску (</w:t>
            </w:r>
            <w:proofErr w:type="spellStart"/>
            <w:r w:rsidRPr="00402133">
              <w:rPr>
                <w:sz w:val="22"/>
                <w:szCs w:val="22"/>
                <w:lang w:eastAsia="en-US"/>
              </w:rPr>
              <w:t>дюрации</w:t>
            </w:r>
            <w:proofErr w:type="spellEnd"/>
            <w:r w:rsidRPr="00402133">
              <w:rPr>
                <w:sz w:val="22"/>
                <w:szCs w:val="22"/>
                <w:lang w:eastAsia="en-US"/>
              </w:rPr>
              <w:t xml:space="preserve">). </w:t>
            </w:r>
          </w:p>
          <w:p w14:paraId="54833B0F" w14:textId="77777777" w:rsidR="00402133" w:rsidRPr="00402133" w:rsidRDefault="00402133" w:rsidP="00402133">
            <w:pPr>
              <w:autoSpaceDE/>
              <w:autoSpaceDN/>
              <w:ind w:firstLine="360"/>
              <w:jc w:val="both"/>
              <w:rPr>
                <w:sz w:val="22"/>
                <w:szCs w:val="22"/>
                <w:lang w:eastAsia="en-US"/>
              </w:rPr>
            </w:pPr>
            <w:r w:rsidRPr="00402133">
              <w:rPr>
                <w:sz w:val="22"/>
                <w:szCs w:val="22"/>
                <w:lang w:eastAsia="en-US"/>
              </w:rPr>
              <w:t>На втором этапе, при выборе облигаций для формирования портфеля активов фонда управляющая компания сначала формирует выборку облигаций из всего множества представленных на рынке на основе следующих фильтров:</w:t>
            </w:r>
          </w:p>
          <w:p w14:paraId="497D867D" w14:textId="77777777" w:rsidR="00402133" w:rsidRPr="00402133" w:rsidRDefault="00402133" w:rsidP="00E005E4">
            <w:pPr>
              <w:numPr>
                <w:ilvl w:val="0"/>
                <w:numId w:val="7"/>
              </w:numPr>
              <w:autoSpaceDE/>
              <w:autoSpaceDN/>
              <w:jc w:val="both"/>
              <w:rPr>
                <w:sz w:val="22"/>
                <w:szCs w:val="22"/>
              </w:rPr>
            </w:pPr>
            <w:r w:rsidRPr="00402133">
              <w:rPr>
                <w:sz w:val="22"/>
                <w:szCs w:val="22"/>
              </w:rPr>
              <w:t>Рейтинг эмитента не ниже «</w:t>
            </w:r>
            <w:r w:rsidRPr="00402133">
              <w:rPr>
                <w:sz w:val="22"/>
                <w:szCs w:val="22"/>
                <w:lang w:val="en-US"/>
              </w:rPr>
              <w:t>B</w:t>
            </w:r>
            <w:r w:rsidRPr="00402133">
              <w:rPr>
                <w:sz w:val="22"/>
                <w:szCs w:val="22"/>
              </w:rPr>
              <w:t xml:space="preserve">-» по международной рейтинговой шкале иностранного кредитного рейтингового агентства S&amp;P </w:t>
            </w:r>
            <w:proofErr w:type="spellStart"/>
            <w:r w:rsidRPr="00402133">
              <w:rPr>
                <w:sz w:val="22"/>
                <w:szCs w:val="22"/>
              </w:rPr>
              <w:t>Global</w:t>
            </w:r>
            <w:proofErr w:type="spellEnd"/>
            <w:r w:rsidRPr="00402133">
              <w:rPr>
                <w:sz w:val="22"/>
                <w:szCs w:val="22"/>
              </w:rPr>
              <w:t xml:space="preserve"> </w:t>
            </w:r>
            <w:proofErr w:type="spellStart"/>
            <w:r w:rsidRPr="00402133">
              <w:rPr>
                <w:sz w:val="22"/>
                <w:szCs w:val="22"/>
              </w:rPr>
              <w:t>Ratings</w:t>
            </w:r>
            <w:proofErr w:type="spellEnd"/>
            <w:r w:rsidRPr="00402133">
              <w:rPr>
                <w:sz w:val="22"/>
                <w:szCs w:val="22"/>
              </w:rPr>
              <w:t xml:space="preserve"> и/или «</w:t>
            </w:r>
            <w:r w:rsidRPr="00402133">
              <w:rPr>
                <w:sz w:val="22"/>
                <w:szCs w:val="22"/>
                <w:lang w:val="en-US"/>
              </w:rPr>
              <w:t>B</w:t>
            </w:r>
            <w:r w:rsidRPr="00402133">
              <w:rPr>
                <w:sz w:val="22"/>
                <w:szCs w:val="22"/>
              </w:rPr>
              <w:t xml:space="preserve">3» по международной рейтинговой шкале иностранного кредитного рейтингового агентства </w:t>
            </w:r>
            <w:r w:rsidRPr="00402133">
              <w:rPr>
                <w:sz w:val="22"/>
                <w:szCs w:val="22"/>
                <w:lang w:val="en-US"/>
              </w:rPr>
              <w:t>Moody</w:t>
            </w:r>
            <w:r w:rsidRPr="00402133">
              <w:rPr>
                <w:sz w:val="22"/>
                <w:szCs w:val="22"/>
              </w:rPr>
              <w:t>’</w:t>
            </w:r>
            <w:r w:rsidRPr="00402133">
              <w:rPr>
                <w:sz w:val="22"/>
                <w:szCs w:val="22"/>
                <w:lang w:val="en-US"/>
              </w:rPr>
              <w:t>s</w:t>
            </w:r>
            <w:r w:rsidRPr="00402133">
              <w:rPr>
                <w:sz w:val="22"/>
                <w:szCs w:val="22"/>
              </w:rPr>
              <w:t xml:space="preserve"> </w:t>
            </w:r>
            <w:r w:rsidRPr="00402133">
              <w:rPr>
                <w:sz w:val="22"/>
                <w:szCs w:val="22"/>
                <w:lang w:val="en-US"/>
              </w:rPr>
              <w:t>Investor</w:t>
            </w:r>
            <w:r w:rsidRPr="00402133">
              <w:rPr>
                <w:sz w:val="22"/>
                <w:szCs w:val="22"/>
              </w:rPr>
              <w:t xml:space="preserve"> </w:t>
            </w:r>
            <w:r w:rsidRPr="00402133">
              <w:rPr>
                <w:sz w:val="22"/>
                <w:szCs w:val="22"/>
                <w:lang w:val="en-US"/>
              </w:rPr>
              <w:t>Service</w:t>
            </w:r>
            <w:r w:rsidRPr="00402133">
              <w:rPr>
                <w:sz w:val="22"/>
                <w:szCs w:val="22"/>
              </w:rPr>
              <w:t>;</w:t>
            </w:r>
          </w:p>
          <w:p w14:paraId="6F9D53A8" w14:textId="77777777" w:rsidR="00402133" w:rsidRPr="00402133" w:rsidRDefault="00402133" w:rsidP="00E005E4">
            <w:pPr>
              <w:numPr>
                <w:ilvl w:val="0"/>
                <w:numId w:val="7"/>
              </w:numPr>
              <w:autoSpaceDE/>
              <w:autoSpaceDN/>
              <w:jc w:val="both"/>
              <w:rPr>
                <w:sz w:val="22"/>
                <w:szCs w:val="22"/>
              </w:rPr>
            </w:pPr>
            <w:r w:rsidRPr="00402133">
              <w:rPr>
                <w:sz w:val="22"/>
                <w:szCs w:val="22"/>
              </w:rPr>
              <w:t>Из рассмотрения исключаются облигации эмитентов, относящихся к финансовому сектору экономики, в том числе облигации банков, страховых, лизинговых и иных финансовых компаний;</w:t>
            </w:r>
          </w:p>
          <w:p w14:paraId="019F439B" w14:textId="77777777" w:rsidR="00402133" w:rsidRPr="00402133" w:rsidRDefault="00402133" w:rsidP="00E005E4">
            <w:pPr>
              <w:numPr>
                <w:ilvl w:val="0"/>
                <w:numId w:val="7"/>
              </w:numPr>
              <w:autoSpaceDE/>
              <w:autoSpaceDN/>
              <w:jc w:val="both"/>
              <w:rPr>
                <w:sz w:val="22"/>
                <w:szCs w:val="22"/>
              </w:rPr>
            </w:pPr>
            <w:r w:rsidRPr="00402133">
              <w:rPr>
                <w:sz w:val="22"/>
                <w:szCs w:val="22"/>
              </w:rPr>
              <w:t>Из рассмотрения исключаются субординированные облигации.</w:t>
            </w:r>
          </w:p>
          <w:p w14:paraId="55F13041" w14:textId="77777777" w:rsidR="00402133" w:rsidRPr="00402133" w:rsidRDefault="00402133" w:rsidP="00402133">
            <w:pPr>
              <w:autoSpaceDE/>
              <w:autoSpaceDN/>
              <w:rPr>
                <w:sz w:val="22"/>
                <w:szCs w:val="22"/>
                <w:lang w:eastAsia="en-US"/>
              </w:rPr>
            </w:pPr>
          </w:p>
          <w:p w14:paraId="20D50821" w14:textId="77777777" w:rsidR="00402133" w:rsidRPr="00402133" w:rsidRDefault="00402133" w:rsidP="00402133">
            <w:pPr>
              <w:autoSpaceDE/>
              <w:autoSpaceDN/>
              <w:rPr>
                <w:sz w:val="22"/>
                <w:szCs w:val="22"/>
                <w:lang w:eastAsia="en-US"/>
              </w:rPr>
            </w:pPr>
            <w:r w:rsidRPr="00402133">
              <w:rPr>
                <w:sz w:val="22"/>
                <w:szCs w:val="22"/>
                <w:lang w:eastAsia="en-US"/>
              </w:rPr>
              <w:t>Полученная выборка облигаций группируется:</w:t>
            </w:r>
          </w:p>
          <w:p w14:paraId="27A5A91D" w14:textId="77777777" w:rsidR="00402133" w:rsidRPr="00402133" w:rsidRDefault="00402133" w:rsidP="00E005E4">
            <w:pPr>
              <w:numPr>
                <w:ilvl w:val="0"/>
                <w:numId w:val="8"/>
              </w:numPr>
              <w:autoSpaceDE/>
              <w:autoSpaceDN/>
              <w:rPr>
                <w:sz w:val="22"/>
                <w:szCs w:val="22"/>
              </w:rPr>
            </w:pPr>
            <w:r w:rsidRPr="00402133">
              <w:rPr>
                <w:sz w:val="22"/>
                <w:szCs w:val="22"/>
              </w:rPr>
              <w:t xml:space="preserve">По секторам экономики; </w:t>
            </w:r>
          </w:p>
          <w:p w14:paraId="1955902F" w14:textId="77777777" w:rsidR="00402133" w:rsidRPr="00402133" w:rsidRDefault="00402133" w:rsidP="00E005E4">
            <w:pPr>
              <w:numPr>
                <w:ilvl w:val="0"/>
                <w:numId w:val="8"/>
              </w:numPr>
              <w:autoSpaceDE/>
              <w:autoSpaceDN/>
              <w:rPr>
                <w:sz w:val="22"/>
                <w:szCs w:val="22"/>
              </w:rPr>
            </w:pPr>
            <w:r w:rsidRPr="00402133">
              <w:rPr>
                <w:sz w:val="22"/>
                <w:szCs w:val="22"/>
              </w:rPr>
              <w:t>По группе кредитного рейтинга внутри каждого сектора экономики;</w:t>
            </w:r>
          </w:p>
          <w:p w14:paraId="02891BF7" w14:textId="77777777" w:rsidR="00402133" w:rsidRPr="00402133" w:rsidRDefault="00402133" w:rsidP="00E005E4">
            <w:pPr>
              <w:numPr>
                <w:ilvl w:val="0"/>
                <w:numId w:val="8"/>
              </w:numPr>
              <w:autoSpaceDE/>
              <w:autoSpaceDN/>
              <w:rPr>
                <w:sz w:val="22"/>
                <w:szCs w:val="22"/>
              </w:rPr>
            </w:pPr>
            <w:r w:rsidRPr="00402133">
              <w:rPr>
                <w:sz w:val="22"/>
                <w:szCs w:val="22"/>
              </w:rPr>
              <w:t xml:space="preserve">По срочности внутри каждой рейтинговой группы следующим образом: </w:t>
            </w:r>
          </w:p>
          <w:p w14:paraId="610291BE" w14:textId="77777777" w:rsidR="00402133" w:rsidRPr="00402133" w:rsidRDefault="00402133" w:rsidP="00E005E4">
            <w:pPr>
              <w:numPr>
                <w:ilvl w:val="0"/>
                <w:numId w:val="9"/>
              </w:numPr>
              <w:autoSpaceDE/>
              <w:autoSpaceDN/>
              <w:rPr>
                <w:sz w:val="22"/>
                <w:szCs w:val="22"/>
              </w:rPr>
            </w:pPr>
            <w:r w:rsidRPr="00402133">
              <w:rPr>
                <w:sz w:val="22"/>
                <w:szCs w:val="22"/>
              </w:rPr>
              <w:t>«До 1 года»;</w:t>
            </w:r>
          </w:p>
          <w:p w14:paraId="3A9E1D03" w14:textId="77777777" w:rsidR="00402133" w:rsidRPr="00402133" w:rsidRDefault="00402133" w:rsidP="00E005E4">
            <w:pPr>
              <w:numPr>
                <w:ilvl w:val="0"/>
                <w:numId w:val="9"/>
              </w:numPr>
              <w:autoSpaceDE/>
              <w:autoSpaceDN/>
              <w:rPr>
                <w:sz w:val="22"/>
                <w:szCs w:val="22"/>
              </w:rPr>
            </w:pPr>
            <w:r w:rsidRPr="00402133">
              <w:rPr>
                <w:sz w:val="22"/>
                <w:szCs w:val="22"/>
              </w:rPr>
              <w:t>«От 1 до 3 лет»;</w:t>
            </w:r>
          </w:p>
          <w:p w14:paraId="5ECBD7A7" w14:textId="77777777" w:rsidR="00402133" w:rsidRPr="00402133" w:rsidRDefault="00402133" w:rsidP="00E005E4">
            <w:pPr>
              <w:numPr>
                <w:ilvl w:val="0"/>
                <w:numId w:val="9"/>
              </w:numPr>
              <w:autoSpaceDE/>
              <w:autoSpaceDN/>
              <w:rPr>
                <w:sz w:val="22"/>
                <w:szCs w:val="22"/>
              </w:rPr>
            </w:pPr>
            <w:r w:rsidRPr="00402133">
              <w:rPr>
                <w:sz w:val="22"/>
                <w:szCs w:val="22"/>
              </w:rPr>
              <w:t>«От 3 до 5 лет»;</w:t>
            </w:r>
          </w:p>
          <w:p w14:paraId="4D1CFA28" w14:textId="77777777" w:rsidR="00402133" w:rsidRPr="00402133" w:rsidRDefault="00402133" w:rsidP="00E005E4">
            <w:pPr>
              <w:numPr>
                <w:ilvl w:val="0"/>
                <w:numId w:val="9"/>
              </w:numPr>
              <w:autoSpaceDE/>
              <w:autoSpaceDN/>
            </w:pPr>
            <w:r w:rsidRPr="00402133">
              <w:rPr>
                <w:sz w:val="22"/>
                <w:szCs w:val="22"/>
              </w:rPr>
              <w:t>«От 5 до 10 лет»;</w:t>
            </w:r>
          </w:p>
          <w:p w14:paraId="6BB5BE39" w14:textId="77777777" w:rsidR="00402133" w:rsidRPr="00402133" w:rsidRDefault="00402133" w:rsidP="00E005E4">
            <w:pPr>
              <w:numPr>
                <w:ilvl w:val="0"/>
                <w:numId w:val="9"/>
              </w:numPr>
              <w:autoSpaceDE/>
              <w:autoSpaceDN/>
              <w:rPr>
                <w:sz w:val="22"/>
                <w:szCs w:val="22"/>
              </w:rPr>
            </w:pPr>
            <w:r w:rsidRPr="00402133">
              <w:rPr>
                <w:sz w:val="22"/>
                <w:szCs w:val="22"/>
              </w:rPr>
              <w:t>«Более 10 лет».</w:t>
            </w:r>
          </w:p>
          <w:p w14:paraId="364F8DEA" w14:textId="77777777" w:rsidR="00402133" w:rsidRPr="00402133" w:rsidRDefault="00402133" w:rsidP="00402133">
            <w:pPr>
              <w:autoSpaceDE/>
              <w:autoSpaceDN/>
              <w:ind w:firstLine="720"/>
              <w:jc w:val="both"/>
              <w:rPr>
                <w:sz w:val="22"/>
                <w:szCs w:val="22"/>
              </w:rPr>
            </w:pPr>
            <w:r w:rsidRPr="00402133">
              <w:rPr>
                <w:sz w:val="22"/>
                <w:szCs w:val="22"/>
              </w:rPr>
              <w:lastRenderedPageBreak/>
              <w:t xml:space="preserve">В зависимости от выбранного целевого позиционирования портфеля облигаций по </w:t>
            </w:r>
            <w:proofErr w:type="spellStart"/>
            <w:r w:rsidRPr="00402133">
              <w:rPr>
                <w:sz w:val="22"/>
                <w:szCs w:val="22"/>
              </w:rPr>
              <w:t>дюрации</w:t>
            </w:r>
            <w:proofErr w:type="spellEnd"/>
            <w:r w:rsidRPr="00402133">
              <w:rPr>
                <w:sz w:val="22"/>
                <w:szCs w:val="22"/>
              </w:rPr>
              <w:t>, произведенного на первом этапе, осуществляется определённая выборка облигаций по срочности.</w:t>
            </w:r>
          </w:p>
          <w:p w14:paraId="25041191" w14:textId="77777777" w:rsidR="00402133" w:rsidRPr="00402133" w:rsidRDefault="00402133" w:rsidP="00402133">
            <w:pPr>
              <w:autoSpaceDE/>
              <w:autoSpaceDN/>
              <w:jc w:val="both"/>
              <w:rPr>
                <w:sz w:val="22"/>
                <w:szCs w:val="22"/>
              </w:rPr>
            </w:pPr>
            <w:r w:rsidRPr="00402133">
              <w:rPr>
                <w:sz w:val="22"/>
                <w:szCs w:val="22"/>
              </w:rPr>
              <w:t xml:space="preserve">Последующий этап анализа включает в себя отбор относительно недооцененных рынком выпусков облигаций. Ключевым критерием такого отбора является расширенная величина кредитного спреда относительно среднего значения по анализируемой отраслевой, рейтинговой группе и группе срочности. </w:t>
            </w:r>
          </w:p>
          <w:p w14:paraId="2822AD10" w14:textId="77777777" w:rsidR="00402133" w:rsidRPr="00402133" w:rsidRDefault="00402133" w:rsidP="00402133">
            <w:pPr>
              <w:autoSpaceDE/>
              <w:autoSpaceDN/>
              <w:ind w:firstLine="720"/>
              <w:jc w:val="both"/>
              <w:rPr>
                <w:sz w:val="22"/>
                <w:szCs w:val="22"/>
                <w:lang w:eastAsia="en-US"/>
              </w:rPr>
            </w:pPr>
            <w:r w:rsidRPr="00402133">
              <w:rPr>
                <w:sz w:val="22"/>
                <w:szCs w:val="22"/>
                <w:lang w:eastAsia="en-US"/>
              </w:rPr>
              <w:t>Следующим этапом является кредитный анализ эмитентов и выпущенных ими облигаций.</w:t>
            </w:r>
          </w:p>
          <w:p w14:paraId="5555F9EE" w14:textId="77777777" w:rsidR="00402133" w:rsidRPr="00402133" w:rsidRDefault="00402133" w:rsidP="00402133">
            <w:pPr>
              <w:autoSpaceDE/>
              <w:autoSpaceDN/>
              <w:jc w:val="both"/>
              <w:rPr>
                <w:sz w:val="22"/>
                <w:szCs w:val="22"/>
                <w:lang w:eastAsia="en-US"/>
              </w:rPr>
            </w:pPr>
          </w:p>
          <w:p w14:paraId="5E62055D" w14:textId="77777777" w:rsidR="00402133" w:rsidRPr="00402133" w:rsidRDefault="00402133" w:rsidP="00E005E4">
            <w:pPr>
              <w:numPr>
                <w:ilvl w:val="1"/>
                <w:numId w:val="5"/>
              </w:numPr>
              <w:autoSpaceDE/>
              <w:autoSpaceDN/>
              <w:rPr>
                <w:sz w:val="22"/>
                <w:szCs w:val="22"/>
              </w:rPr>
            </w:pPr>
            <w:r w:rsidRPr="00402133">
              <w:rPr>
                <w:sz w:val="22"/>
                <w:szCs w:val="22"/>
              </w:rPr>
              <w:t>Кредитный анализ эмитентов облигаций</w:t>
            </w:r>
          </w:p>
          <w:p w14:paraId="71749BD2" w14:textId="77777777" w:rsidR="00402133" w:rsidRPr="00402133" w:rsidRDefault="00402133" w:rsidP="00402133">
            <w:pPr>
              <w:autoSpaceDE/>
              <w:autoSpaceDN/>
              <w:ind w:firstLine="720"/>
              <w:jc w:val="both"/>
              <w:rPr>
                <w:sz w:val="22"/>
                <w:szCs w:val="22"/>
                <w:lang w:eastAsia="en-US"/>
              </w:rPr>
            </w:pPr>
            <w:r w:rsidRPr="00402133">
              <w:rPr>
                <w:sz w:val="22"/>
                <w:szCs w:val="22"/>
                <w:lang w:eastAsia="en-US"/>
              </w:rPr>
              <w:t>Для каждого эмитента проводится глубокий фундаментальный анализ, который включает в себя детальный анализ количественных и качественных характеристик эмитента и позволяет оценить уровень кредитной надежности заемщика:</w:t>
            </w:r>
          </w:p>
          <w:p w14:paraId="218ABBBB" w14:textId="77777777" w:rsidR="00402133" w:rsidRPr="00402133" w:rsidRDefault="00402133" w:rsidP="00E005E4">
            <w:pPr>
              <w:numPr>
                <w:ilvl w:val="1"/>
                <w:numId w:val="3"/>
              </w:numPr>
              <w:tabs>
                <w:tab w:val="left" w:pos="0"/>
              </w:tabs>
              <w:autoSpaceDE/>
              <w:autoSpaceDN/>
              <w:spacing w:before="120" w:after="120"/>
              <w:ind w:left="0" w:firstLine="0"/>
              <w:jc w:val="both"/>
              <w:rPr>
                <w:sz w:val="22"/>
                <w:szCs w:val="22"/>
                <w:lang w:eastAsia="en-US"/>
              </w:rPr>
            </w:pPr>
            <w:r w:rsidRPr="00402133">
              <w:rPr>
                <w:sz w:val="22"/>
                <w:szCs w:val="22"/>
                <w:lang w:eastAsia="en-US"/>
              </w:rPr>
              <w:t>Количественный анализ включает в себя оценку будущих финансовых результатов эмитентов. Основными факторами являются долгосрочная динамика уровня рентабельности операционного денежного потока, рентабельности капитала и чистой прибыли, оценка свободного денежного потока, в том числе будущего в части возможности обслуживания долга, оценка будущей необходимости в привлечении рефинансирования для обслуживания долга, оценка текущей ликвидности, общий уровень долговой нагрузки, структура баланса с точки зрения покрытия долга активами и собственным капиталом и другие показатели, позволяющие оценить будущую кредитоспособность эмитента.</w:t>
            </w:r>
          </w:p>
          <w:p w14:paraId="6250B2E6" w14:textId="77777777" w:rsidR="00402133" w:rsidRPr="00402133" w:rsidRDefault="00402133" w:rsidP="00E005E4">
            <w:pPr>
              <w:numPr>
                <w:ilvl w:val="1"/>
                <w:numId w:val="3"/>
              </w:numPr>
              <w:tabs>
                <w:tab w:val="left" w:pos="0"/>
              </w:tabs>
              <w:autoSpaceDE/>
              <w:autoSpaceDN/>
              <w:spacing w:before="120" w:after="120"/>
              <w:ind w:left="0" w:firstLine="0"/>
              <w:jc w:val="both"/>
              <w:rPr>
                <w:sz w:val="22"/>
                <w:szCs w:val="22"/>
                <w:lang w:eastAsia="en-US"/>
              </w:rPr>
            </w:pPr>
            <w:r w:rsidRPr="00402133">
              <w:rPr>
                <w:sz w:val="22"/>
                <w:szCs w:val="22"/>
                <w:lang w:eastAsia="en-US"/>
              </w:rPr>
              <w:t xml:space="preserve">Качественный анализ основан на оценке таких факторов как качество корпоративного управления, возможность поддержки со стороны основного акционера, степень доступности дополнительных источников привлечения финансирования, конкурентоспособность бизнес-модели, общая динамика развития соответствующего сектора экономики и чувствительность денежных потоков компании к изменениям налогового режима, законодательных или нормативных актов, а также к </w:t>
            </w:r>
            <w:r w:rsidRPr="00402133">
              <w:rPr>
                <w:sz w:val="22"/>
                <w:szCs w:val="22"/>
                <w:lang w:eastAsia="en-US"/>
              </w:rPr>
              <w:lastRenderedPageBreak/>
              <w:t>потенциальному значительному ухудшению экономической ситуации.</w:t>
            </w:r>
          </w:p>
          <w:p w14:paraId="4CEC03B6" w14:textId="77777777" w:rsidR="00402133" w:rsidRPr="00402133" w:rsidRDefault="00402133" w:rsidP="00402133">
            <w:pPr>
              <w:autoSpaceDE/>
              <w:autoSpaceDN/>
              <w:ind w:firstLine="720"/>
              <w:jc w:val="both"/>
              <w:rPr>
                <w:sz w:val="22"/>
                <w:szCs w:val="22"/>
                <w:lang w:eastAsia="en-US"/>
              </w:rPr>
            </w:pPr>
            <w:r w:rsidRPr="00402133">
              <w:rPr>
                <w:sz w:val="22"/>
                <w:szCs w:val="22"/>
                <w:lang w:eastAsia="en-US"/>
              </w:rPr>
              <w:t>При оценке кредитного качества эмитентов управляющая компания применяет как собственную экспертизу и модели оценки, так и данные экспертов рынка. Основными источниками для оценки являются финансовая отчетность эмитентов, новостные ресурсы, а также информация, полученная непосредственно от менеджмента эмитента.</w:t>
            </w:r>
          </w:p>
          <w:p w14:paraId="15573503" w14:textId="77777777" w:rsidR="00402133" w:rsidRPr="00402133" w:rsidRDefault="00402133" w:rsidP="00402133">
            <w:pPr>
              <w:autoSpaceDE/>
              <w:autoSpaceDN/>
              <w:ind w:firstLine="720"/>
              <w:jc w:val="both"/>
              <w:rPr>
                <w:sz w:val="22"/>
                <w:szCs w:val="22"/>
                <w:lang w:eastAsia="en-US"/>
              </w:rPr>
            </w:pPr>
          </w:p>
          <w:p w14:paraId="4D996A0A" w14:textId="77777777" w:rsidR="00402133" w:rsidRPr="00402133" w:rsidRDefault="00402133" w:rsidP="00E005E4">
            <w:pPr>
              <w:numPr>
                <w:ilvl w:val="1"/>
                <w:numId w:val="5"/>
              </w:numPr>
              <w:autoSpaceDE/>
              <w:autoSpaceDN/>
              <w:contextualSpacing/>
              <w:jc w:val="both"/>
              <w:rPr>
                <w:sz w:val="22"/>
                <w:szCs w:val="22"/>
              </w:rPr>
            </w:pPr>
            <w:r w:rsidRPr="00402133">
              <w:rPr>
                <w:sz w:val="22"/>
                <w:szCs w:val="22"/>
              </w:rPr>
              <w:t>Формирование портфеля активов фонда</w:t>
            </w:r>
          </w:p>
          <w:p w14:paraId="1185D315" w14:textId="77777777" w:rsidR="00402133" w:rsidRPr="00402133" w:rsidRDefault="00402133" w:rsidP="00402133">
            <w:pPr>
              <w:autoSpaceDE/>
              <w:autoSpaceDN/>
              <w:spacing w:before="120" w:after="120"/>
              <w:ind w:firstLine="708"/>
              <w:jc w:val="both"/>
              <w:rPr>
                <w:sz w:val="22"/>
                <w:szCs w:val="22"/>
                <w:lang w:eastAsia="en-US"/>
              </w:rPr>
            </w:pPr>
            <w:r w:rsidRPr="00402133">
              <w:rPr>
                <w:sz w:val="22"/>
                <w:szCs w:val="22"/>
                <w:lang w:eastAsia="en-US"/>
              </w:rPr>
              <w:t xml:space="preserve">Портфель облигаций фонда в первую очередь формируется таким образом, чтобы соответствовать целевым показателям </w:t>
            </w:r>
            <w:proofErr w:type="spellStart"/>
            <w:r w:rsidRPr="00402133">
              <w:rPr>
                <w:sz w:val="22"/>
                <w:szCs w:val="22"/>
                <w:lang w:eastAsia="en-US"/>
              </w:rPr>
              <w:t>дюрации</w:t>
            </w:r>
            <w:proofErr w:type="spellEnd"/>
            <w:r w:rsidRPr="00402133">
              <w:rPr>
                <w:sz w:val="22"/>
                <w:szCs w:val="22"/>
                <w:lang w:eastAsia="en-US"/>
              </w:rPr>
              <w:t>, распределению по рейтинговым группам.</w:t>
            </w:r>
          </w:p>
          <w:p w14:paraId="55FF911D" w14:textId="77777777" w:rsidR="00402133" w:rsidRPr="00402133" w:rsidRDefault="00402133" w:rsidP="00402133">
            <w:pPr>
              <w:autoSpaceDE/>
              <w:autoSpaceDN/>
              <w:spacing w:before="120" w:after="120"/>
              <w:ind w:firstLine="708"/>
              <w:jc w:val="both"/>
              <w:rPr>
                <w:sz w:val="22"/>
                <w:szCs w:val="22"/>
                <w:lang w:eastAsia="en-US"/>
              </w:rPr>
            </w:pPr>
            <w:r w:rsidRPr="00402133">
              <w:rPr>
                <w:sz w:val="22"/>
                <w:szCs w:val="22"/>
                <w:lang w:eastAsia="en-US"/>
              </w:rPr>
              <w:t>Управляющая компания придерживается принципов широкой диверсификации портфеля. При принятии решения о покупке облигации управляющая компания руководствуется соотношением риска и доходности такого долгового финансового инструмента по сравнению с альтернативными вариантами, сопоставляя показатели кредитного спреда и риска (</w:t>
            </w:r>
            <w:proofErr w:type="spellStart"/>
            <w:r w:rsidRPr="00402133">
              <w:rPr>
                <w:sz w:val="22"/>
                <w:szCs w:val="22"/>
                <w:lang w:eastAsia="en-US"/>
              </w:rPr>
              <w:t>дюрации</w:t>
            </w:r>
            <w:proofErr w:type="spellEnd"/>
            <w:r w:rsidRPr="00402133">
              <w:rPr>
                <w:sz w:val="22"/>
                <w:szCs w:val="22"/>
                <w:lang w:eastAsia="en-US"/>
              </w:rPr>
              <w:t xml:space="preserve"> и кредитного рейтинга). Предпочтение отдается тем финансовым инструментам, у которых при сопоставимых (меньших) показателях риска величина кредитного спреда является большей, и/или управляющая компания по итогам оценки кредитного качества эмитента ожидает сокращения кредитного спреда на фоне улучшения кредитного качества.</w:t>
            </w:r>
          </w:p>
          <w:p w14:paraId="486EE020" w14:textId="77777777" w:rsidR="00402133" w:rsidRPr="00402133" w:rsidRDefault="00402133" w:rsidP="00402133">
            <w:pPr>
              <w:autoSpaceDE/>
              <w:autoSpaceDN/>
              <w:ind w:firstLine="709"/>
              <w:jc w:val="both"/>
              <w:rPr>
                <w:color w:val="1F497D"/>
                <w:sz w:val="22"/>
                <w:szCs w:val="22"/>
                <w:lang w:eastAsia="en-US"/>
              </w:rPr>
            </w:pPr>
            <w:r w:rsidRPr="00402133">
              <w:rPr>
                <w:sz w:val="22"/>
                <w:szCs w:val="22"/>
                <w:lang w:eastAsia="en-US"/>
              </w:rPr>
              <w:t>При выборе объектов для инвестирования рассматривается широкий спектр облигаций в диапазоне кредитных рейтингов не ниже «</w:t>
            </w:r>
            <w:r w:rsidRPr="00402133">
              <w:rPr>
                <w:sz w:val="22"/>
                <w:szCs w:val="22"/>
                <w:lang w:val="en-US" w:eastAsia="en-US"/>
              </w:rPr>
              <w:t>B</w:t>
            </w:r>
            <w:r w:rsidRPr="00402133">
              <w:rPr>
                <w:sz w:val="22"/>
                <w:szCs w:val="22"/>
                <w:lang w:eastAsia="en-US"/>
              </w:rPr>
              <w:t xml:space="preserve">-» по международной рейтинговой шкале иностранного кредитного рейтингового агентства S&amp;P </w:t>
            </w:r>
            <w:proofErr w:type="spellStart"/>
            <w:r w:rsidRPr="00402133">
              <w:rPr>
                <w:sz w:val="22"/>
                <w:szCs w:val="22"/>
                <w:lang w:eastAsia="en-US"/>
              </w:rPr>
              <w:t>Global</w:t>
            </w:r>
            <w:proofErr w:type="spellEnd"/>
            <w:r w:rsidRPr="00402133">
              <w:rPr>
                <w:sz w:val="22"/>
                <w:szCs w:val="22"/>
                <w:lang w:eastAsia="en-US"/>
              </w:rPr>
              <w:t xml:space="preserve"> </w:t>
            </w:r>
            <w:proofErr w:type="spellStart"/>
            <w:r w:rsidRPr="00402133">
              <w:rPr>
                <w:sz w:val="22"/>
                <w:szCs w:val="22"/>
                <w:lang w:eastAsia="en-US"/>
              </w:rPr>
              <w:t>Ratings</w:t>
            </w:r>
            <w:proofErr w:type="spellEnd"/>
            <w:r w:rsidRPr="00402133">
              <w:rPr>
                <w:sz w:val="22"/>
                <w:szCs w:val="22"/>
                <w:lang w:eastAsia="en-US"/>
              </w:rPr>
              <w:t xml:space="preserve"> («</w:t>
            </w:r>
            <w:r w:rsidRPr="00402133">
              <w:rPr>
                <w:sz w:val="22"/>
                <w:szCs w:val="22"/>
                <w:lang w:val="en-US" w:eastAsia="en-US"/>
              </w:rPr>
              <w:t>B</w:t>
            </w:r>
            <w:r w:rsidRPr="00402133">
              <w:rPr>
                <w:sz w:val="22"/>
                <w:szCs w:val="22"/>
                <w:lang w:eastAsia="en-US"/>
              </w:rPr>
              <w:t xml:space="preserve">3» по международной рейтинговой шкале иностранного кредитного рейтингового агентства </w:t>
            </w:r>
            <w:r w:rsidRPr="00402133">
              <w:rPr>
                <w:sz w:val="22"/>
                <w:szCs w:val="22"/>
                <w:lang w:val="en-US" w:eastAsia="en-US"/>
              </w:rPr>
              <w:t>Moody</w:t>
            </w:r>
            <w:r w:rsidRPr="00402133">
              <w:rPr>
                <w:sz w:val="22"/>
                <w:szCs w:val="22"/>
                <w:lang w:eastAsia="en-US"/>
              </w:rPr>
              <w:t>’</w:t>
            </w:r>
            <w:r w:rsidRPr="00402133">
              <w:rPr>
                <w:sz w:val="22"/>
                <w:szCs w:val="22"/>
                <w:lang w:val="en-US" w:eastAsia="en-US"/>
              </w:rPr>
              <w:t>s</w:t>
            </w:r>
            <w:r w:rsidRPr="00402133">
              <w:rPr>
                <w:sz w:val="22"/>
                <w:szCs w:val="22"/>
                <w:lang w:eastAsia="en-US"/>
              </w:rPr>
              <w:t xml:space="preserve"> </w:t>
            </w:r>
            <w:r w:rsidRPr="00402133">
              <w:rPr>
                <w:sz w:val="22"/>
                <w:szCs w:val="22"/>
                <w:lang w:val="en-US" w:eastAsia="en-US"/>
              </w:rPr>
              <w:t>Investor</w:t>
            </w:r>
            <w:r w:rsidRPr="00402133">
              <w:rPr>
                <w:sz w:val="22"/>
                <w:szCs w:val="22"/>
                <w:lang w:eastAsia="en-US"/>
              </w:rPr>
              <w:t xml:space="preserve"> </w:t>
            </w:r>
            <w:r w:rsidRPr="00402133">
              <w:rPr>
                <w:sz w:val="22"/>
                <w:szCs w:val="22"/>
                <w:lang w:val="en-US" w:eastAsia="en-US"/>
              </w:rPr>
              <w:t>Service</w:t>
            </w:r>
            <w:r w:rsidRPr="00402133">
              <w:rPr>
                <w:sz w:val="22"/>
                <w:szCs w:val="22"/>
                <w:lang w:eastAsia="en-US"/>
              </w:rPr>
              <w:t>). При этом предпочтение в первую очередь отдается эмитентам облигаций с кредитными рейтингами не ниже «</w:t>
            </w:r>
            <w:r w:rsidRPr="00402133">
              <w:rPr>
                <w:sz w:val="22"/>
                <w:szCs w:val="22"/>
                <w:lang w:val="en-US" w:eastAsia="en-US"/>
              </w:rPr>
              <w:t>BB</w:t>
            </w:r>
            <w:r w:rsidRPr="00402133">
              <w:rPr>
                <w:sz w:val="22"/>
                <w:szCs w:val="22"/>
                <w:lang w:eastAsia="en-US"/>
              </w:rPr>
              <w:t xml:space="preserve">-» по международной рейтинговой шкале иностранного кредитного рейтингового агентства S&amp;P </w:t>
            </w:r>
            <w:proofErr w:type="spellStart"/>
            <w:r w:rsidRPr="00402133">
              <w:rPr>
                <w:sz w:val="22"/>
                <w:szCs w:val="22"/>
                <w:lang w:eastAsia="en-US"/>
              </w:rPr>
              <w:t>Global</w:t>
            </w:r>
            <w:proofErr w:type="spellEnd"/>
            <w:r w:rsidRPr="00402133">
              <w:rPr>
                <w:sz w:val="22"/>
                <w:szCs w:val="22"/>
                <w:lang w:eastAsia="en-US"/>
              </w:rPr>
              <w:t xml:space="preserve"> </w:t>
            </w:r>
            <w:proofErr w:type="spellStart"/>
            <w:r w:rsidRPr="00402133">
              <w:rPr>
                <w:sz w:val="22"/>
                <w:szCs w:val="22"/>
                <w:lang w:eastAsia="en-US"/>
              </w:rPr>
              <w:t>Ratings</w:t>
            </w:r>
            <w:proofErr w:type="spellEnd"/>
            <w:r w:rsidRPr="00402133">
              <w:rPr>
                <w:sz w:val="22"/>
                <w:szCs w:val="22"/>
                <w:lang w:eastAsia="en-US"/>
              </w:rPr>
              <w:t xml:space="preserve"> («</w:t>
            </w:r>
            <w:r w:rsidRPr="00402133">
              <w:rPr>
                <w:sz w:val="22"/>
                <w:szCs w:val="22"/>
                <w:lang w:val="en-US" w:eastAsia="en-US"/>
              </w:rPr>
              <w:t>Ba</w:t>
            </w:r>
            <w:r w:rsidRPr="00402133">
              <w:rPr>
                <w:sz w:val="22"/>
                <w:szCs w:val="22"/>
                <w:lang w:eastAsia="en-US"/>
              </w:rPr>
              <w:t xml:space="preserve">3» по международной рейтинговой шкале иностранного кредитного рейтингового агентства </w:t>
            </w:r>
            <w:r w:rsidRPr="00402133">
              <w:rPr>
                <w:sz w:val="22"/>
                <w:szCs w:val="22"/>
                <w:lang w:val="en-US" w:eastAsia="en-US"/>
              </w:rPr>
              <w:t>Moody</w:t>
            </w:r>
            <w:r w:rsidRPr="00402133">
              <w:rPr>
                <w:sz w:val="22"/>
                <w:szCs w:val="22"/>
                <w:lang w:eastAsia="en-US"/>
              </w:rPr>
              <w:t>’</w:t>
            </w:r>
            <w:r w:rsidRPr="00402133">
              <w:rPr>
                <w:sz w:val="22"/>
                <w:szCs w:val="22"/>
                <w:lang w:val="en-US" w:eastAsia="en-US"/>
              </w:rPr>
              <w:t>s</w:t>
            </w:r>
            <w:r w:rsidRPr="00402133">
              <w:rPr>
                <w:sz w:val="22"/>
                <w:szCs w:val="22"/>
                <w:lang w:eastAsia="en-US"/>
              </w:rPr>
              <w:t xml:space="preserve"> </w:t>
            </w:r>
            <w:r w:rsidRPr="00402133">
              <w:rPr>
                <w:sz w:val="22"/>
                <w:szCs w:val="22"/>
                <w:lang w:val="en-US" w:eastAsia="en-US"/>
              </w:rPr>
              <w:t>Investor</w:t>
            </w:r>
            <w:r w:rsidRPr="00402133">
              <w:rPr>
                <w:sz w:val="22"/>
                <w:szCs w:val="22"/>
                <w:lang w:eastAsia="en-US"/>
              </w:rPr>
              <w:t xml:space="preserve"> </w:t>
            </w:r>
            <w:r w:rsidRPr="00402133">
              <w:rPr>
                <w:sz w:val="22"/>
                <w:szCs w:val="22"/>
                <w:lang w:val="en-US" w:eastAsia="en-US"/>
              </w:rPr>
              <w:t>Service</w:t>
            </w:r>
            <w:r w:rsidRPr="00402133">
              <w:rPr>
                <w:sz w:val="22"/>
                <w:szCs w:val="22"/>
                <w:lang w:eastAsia="en-US"/>
              </w:rPr>
              <w:t xml:space="preserve">). </w:t>
            </w:r>
            <w:r w:rsidRPr="00402133">
              <w:rPr>
                <w:sz w:val="22"/>
                <w:szCs w:val="22"/>
                <w:lang w:eastAsia="en-US"/>
              </w:rPr>
              <w:lastRenderedPageBreak/>
              <w:t>Инвестирование в долговые финансовые инструменты с рейтингами ниже «</w:t>
            </w:r>
            <w:r w:rsidRPr="00402133">
              <w:rPr>
                <w:sz w:val="22"/>
                <w:szCs w:val="22"/>
                <w:lang w:val="en-US" w:eastAsia="en-US"/>
              </w:rPr>
              <w:t>BB</w:t>
            </w:r>
            <w:r w:rsidRPr="00402133">
              <w:rPr>
                <w:sz w:val="22"/>
                <w:szCs w:val="22"/>
                <w:lang w:eastAsia="en-US"/>
              </w:rPr>
              <w:t xml:space="preserve">-» по международной рейтинговой шкале иностранного кредитного рейтингового агентства S&amp;P </w:t>
            </w:r>
            <w:proofErr w:type="spellStart"/>
            <w:r w:rsidRPr="00402133">
              <w:rPr>
                <w:sz w:val="22"/>
                <w:szCs w:val="22"/>
                <w:lang w:eastAsia="en-US"/>
              </w:rPr>
              <w:t>Global</w:t>
            </w:r>
            <w:proofErr w:type="spellEnd"/>
            <w:r w:rsidRPr="00402133">
              <w:rPr>
                <w:sz w:val="22"/>
                <w:szCs w:val="22"/>
                <w:lang w:eastAsia="en-US"/>
              </w:rPr>
              <w:t xml:space="preserve"> </w:t>
            </w:r>
            <w:proofErr w:type="spellStart"/>
            <w:r w:rsidRPr="00402133">
              <w:rPr>
                <w:sz w:val="22"/>
                <w:szCs w:val="22"/>
                <w:lang w:eastAsia="en-US"/>
              </w:rPr>
              <w:t>Ratings</w:t>
            </w:r>
            <w:proofErr w:type="spellEnd"/>
            <w:r w:rsidRPr="00402133">
              <w:rPr>
                <w:sz w:val="22"/>
                <w:szCs w:val="22"/>
                <w:lang w:eastAsia="en-US"/>
              </w:rPr>
              <w:t xml:space="preserve"> («</w:t>
            </w:r>
            <w:r w:rsidRPr="00402133">
              <w:rPr>
                <w:sz w:val="22"/>
                <w:szCs w:val="22"/>
                <w:lang w:val="en-US" w:eastAsia="en-US"/>
              </w:rPr>
              <w:t>Ba</w:t>
            </w:r>
            <w:r w:rsidRPr="00402133">
              <w:rPr>
                <w:sz w:val="22"/>
                <w:szCs w:val="22"/>
                <w:lang w:eastAsia="en-US"/>
              </w:rPr>
              <w:t xml:space="preserve">3» по международной рейтинговой шкале иностранного кредитного рейтингового агентства </w:t>
            </w:r>
            <w:r w:rsidRPr="00402133">
              <w:rPr>
                <w:sz w:val="22"/>
                <w:szCs w:val="22"/>
                <w:lang w:val="en-US" w:eastAsia="en-US"/>
              </w:rPr>
              <w:t>Moody</w:t>
            </w:r>
            <w:r w:rsidRPr="00402133">
              <w:rPr>
                <w:sz w:val="22"/>
                <w:szCs w:val="22"/>
                <w:lang w:eastAsia="en-US"/>
              </w:rPr>
              <w:t>’</w:t>
            </w:r>
            <w:r w:rsidRPr="00402133">
              <w:rPr>
                <w:sz w:val="22"/>
                <w:szCs w:val="22"/>
                <w:lang w:val="en-US" w:eastAsia="en-US"/>
              </w:rPr>
              <w:t>s</w:t>
            </w:r>
            <w:r w:rsidRPr="00402133">
              <w:rPr>
                <w:sz w:val="22"/>
                <w:szCs w:val="22"/>
                <w:lang w:eastAsia="en-US"/>
              </w:rPr>
              <w:t xml:space="preserve"> </w:t>
            </w:r>
            <w:r w:rsidRPr="00402133">
              <w:rPr>
                <w:sz w:val="22"/>
                <w:szCs w:val="22"/>
                <w:lang w:val="en-US" w:eastAsia="en-US"/>
              </w:rPr>
              <w:t>Investor</w:t>
            </w:r>
            <w:r w:rsidRPr="00402133">
              <w:rPr>
                <w:sz w:val="22"/>
                <w:szCs w:val="22"/>
                <w:lang w:eastAsia="en-US"/>
              </w:rPr>
              <w:t xml:space="preserve"> </w:t>
            </w:r>
            <w:r w:rsidRPr="00402133">
              <w:rPr>
                <w:sz w:val="22"/>
                <w:szCs w:val="22"/>
                <w:lang w:val="en-US" w:eastAsia="en-US"/>
              </w:rPr>
              <w:t>Service</w:t>
            </w:r>
            <w:r w:rsidRPr="00402133">
              <w:rPr>
                <w:sz w:val="22"/>
                <w:szCs w:val="22"/>
                <w:lang w:eastAsia="en-US"/>
              </w:rPr>
              <w:t>) принимается управляющей компанией только в случае, если в результате проведенного кредитного анализа ожидается существенное улучшение кредитного качества рассматриваемого заемщика.</w:t>
            </w:r>
          </w:p>
          <w:p w14:paraId="6098F640" w14:textId="77777777" w:rsidR="00402133" w:rsidRPr="00402133" w:rsidRDefault="00402133" w:rsidP="00402133">
            <w:pPr>
              <w:autoSpaceDE/>
              <w:autoSpaceDN/>
              <w:spacing w:before="120" w:after="120"/>
              <w:ind w:firstLine="708"/>
              <w:jc w:val="both"/>
              <w:rPr>
                <w:sz w:val="22"/>
                <w:szCs w:val="22"/>
                <w:lang w:eastAsia="en-US"/>
              </w:rPr>
            </w:pPr>
            <w:r w:rsidRPr="00402133">
              <w:rPr>
                <w:sz w:val="22"/>
                <w:szCs w:val="22"/>
                <w:lang w:eastAsia="en-US"/>
              </w:rPr>
              <w:t>Финансовые инструменты с кредитными рейтингами ниже «</w:t>
            </w:r>
            <w:r w:rsidRPr="00402133">
              <w:rPr>
                <w:sz w:val="22"/>
                <w:szCs w:val="22"/>
                <w:lang w:val="en-US" w:eastAsia="en-US"/>
              </w:rPr>
              <w:t>B</w:t>
            </w:r>
            <w:r w:rsidRPr="00402133">
              <w:rPr>
                <w:sz w:val="22"/>
                <w:szCs w:val="22"/>
                <w:lang w:eastAsia="en-US"/>
              </w:rPr>
              <w:t xml:space="preserve">-» по международной рейтинговой шкале иностранного кредитного рейтингового агентства S&amp;P </w:t>
            </w:r>
            <w:proofErr w:type="spellStart"/>
            <w:r w:rsidRPr="00402133">
              <w:rPr>
                <w:sz w:val="22"/>
                <w:szCs w:val="22"/>
                <w:lang w:eastAsia="en-US"/>
              </w:rPr>
              <w:t>Global</w:t>
            </w:r>
            <w:proofErr w:type="spellEnd"/>
            <w:r w:rsidRPr="00402133">
              <w:rPr>
                <w:sz w:val="22"/>
                <w:szCs w:val="22"/>
                <w:lang w:eastAsia="en-US"/>
              </w:rPr>
              <w:t xml:space="preserve"> </w:t>
            </w:r>
            <w:proofErr w:type="spellStart"/>
            <w:r w:rsidRPr="00402133">
              <w:rPr>
                <w:sz w:val="22"/>
                <w:szCs w:val="22"/>
                <w:lang w:eastAsia="en-US"/>
              </w:rPr>
              <w:t>Ratings</w:t>
            </w:r>
            <w:proofErr w:type="spellEnd"/>
            <w:r w:rsidRPr="00402133">
              <w:rPr>
                <w:sz w:val="22"/>
                <w:szCs w:val="22"/>
                <w:lang w:eastAsia="en-US"/>
              </w:rPr>
              <w:t xml:space="preserve"> («</w:t>
            </w:r>
            <w:r w:rsidRPr="00402133">
              <w:rPr>
                <w:sz w:val="22"/>
                <w:szCs w:val="22"/>
                <w:lang w:val="en-US" w:eastAsia="en-US"/>
              </w:rPr>
              <w:t>B</w:t>
            </w:r>
            <w:r w:rsidRPr="00402133">
              <w:rPr>
                <w:sz w:val="22"/>
                <w:szCs w:val="22"/>
                <w:lang w:eastAsia="en-US"/>
              </w:rPr>
              <w:t xml:space="preserve">3» по международной рейтинговой шкале иностранного кредитного рейтингового агентства </w:t>
            </w:r>
            <w:r w:rsidRPr="00402133">
              <w:rPr>
                <w:sz w:val="22"/>
                <w:szCs w:val="22"/>
                <w:lang w:val="en-US" w:eastAsia="en-US"/>
              </w:rPr>
              <w:t>Moody</w:t>
            </w:r>
            <w:r w:rsidRPr="00402133">
              <w:rPr>
                <w:sz w:val="22"/>
                <w:szCs w:val="22"/>
                <w:lang w:eastAsia="en-US"/>
              </w:rPr>
              <w:t>’</w:t>
            </w:r>
            <w:r w:rsidRPr="00402133">
              <w:rPr>
                <w:sz w:val="22"/>
                <w:szCs w:val="22"/>
                <w:lang w:val="en-US" w:eastAsia="en-US"/>
              </w:rPr>
              <w:t>s</w:t>
            </w:r>
            <w:r w:rsidRPr="00402133">
              <w:rPr>
                <w:sz w:val="22"/>
                <w:szCs w:val="22"/>
                <w:lang w:eastAsia="en-US"/>
              </w:rPr>
              <w:t xml:space="preserve"> </w:t>
            </w:r>
            <w:r w:rsidRPr="00402133">
              <w:rPr>
                <w:sz w:val="22"/>
                <w:szCs w:val="22"/>
                <w:lang w:val="en-US" w:eastAsia="en-US"/>
              </w:rPr>
              <w:t>Investor</w:t>
            </w:r>
            <w:r w:rsidRPr="00402133">
              <w:rPr>
                <w:sz w:val="22"/>
                <w:szCs w:val="22"/>
                <w:lang w:eastAsia="en-US"/>
              </w:rPr>
              <w:t xml:space="preserve"> </w:t>
            </w:r>
            <w:r w:rsidRPr="00402133">
              <w:rPr>
                <w:sz w:val="22"/>
                <w:szCs w:val="22"/>
                <w:lang w:val="en-US" w:eastAsia="en-US"/>
              </w:rPr>
              <w:t>Service</w:t>
            </w:r>
            <w:r w:rsidRPr="00402133">
              <w:rPr>
                <w:sz w:val="22"/>
                <w:szCs w:val="22"/>
                <w:lang w:eastAsia="en-US"/>
              </w:rPr>
              <w:t>) не приобретаются в состав активов фонда. Наличие в составе активов фонда облигаций с кредитным рейтингом «</w:t>
            </w:r>
            <w:r w:rsidRPr="00402133">
              <w:rPr>
                <w:sz w:val="22"/>
                <w:szCs w:val="22"/>
                <w:lang w:val="en-US" w:eastAsia="en-US"/>
              </w:rPr>
              <w:t>B</w:t>
            </w:r>
            <w:r w:rsidRPr="00402133">
              <w:rPr>
                <w:sz w:val="22"/>
                <w:szCs w:val="22"/>
                <w:lang w:eastAsia="en-US"/>
              </w:rPr>
              <w:t xml:space="preserve">-» по международной рейтинговой шкале иностранного кредитного рейтингового агентства S&amp;P </w:t>
            </w:r>
            <w:proofErr w:type="spellStart"/>
            <w:r w:rsidRPr="00402133">
              <w:rPr>
                <w:sz w:val="22"/>
                <w:szCs w:val="22"/>
                <w:lang w:eastAsia="en-US"/>
              </w:rPr>
              <w:t>Global</w:t>
            </w:r>
            <w:proofErr w:type="spellEnd"/>
            <w:r w:rsidRPr="00402133">
              <w:rPr>
                <w:sz w:val="22"/>
                <w:szCs w:val="22"/>
                <w:lang w:eastAsia="en-US"/>
              </w:rPr>
              <w:t xml:space="preserve"> </w:t>
            </w:r>
            <w:proofErr w:type="spellStart"/>
            <w:r w:rsidRPr="00402133">
              <w:rPr>
                <w:sz w:val="22"/>
                <w:szCs w:val="22"/>
                <w:lang w:eastAsia="en-US"/>
              </w:rPr>
              <w:t>Ratings</w:t>
            </w:r>
            <w:proofErr w:type="spellEnd"/>
            <w:r w:rsidRPr="00402133">
              <w:rPr>
                <w:sz w:val="22"/>
                <w:szCs w:val="22"/>
                <w:lang w:eastAsia="en-US"/>
              </w:rPr>
              <w:t xml:space="preserve"> («</w:t>
            </w:r>
            <w:r w:rsidRPr="00402133">
              <w:rPr>
                <w:sz w:val="22"/>
                <w:szCs w:val="22"/>
                <w:lang w:val="en-US" w:eastAsia="en-US"/>
              </w:rPr>
              <w:t>B</w:t>
            </w:r>
            <w:r w:rsidRPr="00402133">
              <w:rPr>
                <w:sz w:val="22"/>
                <w:szCs w:val="22"/>
                <w:lang w:eastAsia="en-US"/>
              </w:rPr>
              <w:t xml:space="preserve">3» по международной рейтинговой шкале иностранного кредитного рейтингового агентства </w:t>
            </w:r>
            <w:r w:rsidRPr="00402133">
              <w:rPr>
                <w:sz w:val="22"/>
                <w:szCs w:val="22"/>
                <w:lang w:val="en-US" w:eastAsia="en-US"/>
              </w:rPr>
              <w:t>Moody</w:t>
            </w:r>
            <w:r w:rsidRPr="00402133">
              <w:rPr>
                <w:sz w:val="22"/>
                <w:szCs w:val="22"/>
                <w:lang w:eastAsia="en-US"/>
              </w:rPr>
              <w:t>’</w:t>
            </w:r>
            <w:r w:rsidRPr="00402133">
              <w:rPr>
                <w:sz w:val="22"/>
                <w:szCs w:val="22"/>
                <w:lang w:val="en-US" w:eastAsia="en-US"/>
              </w:rPr>
              <w:t>s</w:t>
            </w:r>
            <w:r w:rsidRPr="00402133">
              <w:rPr>
                <w:sz w:val="22"/>
                <w:szCs w:val="22"/>
                <w:lang w:eastAsia="en-US"/>
              </w:rPr>
              <w:t xml:space="preserve"> </w:t>
            </w:r>
            <w:r w:rsidRPr="00402133">
              <w:rPr>
                <w:sz w:val="22"/>
                <w:szCs w:val="22"/>
                <w:lang w:val="en-US" w:eastAsia="en-US"/>
              </w:rPr>
              <w:t>Investor</w:t>
            </w:r>
            <w:r w:rsidRPr="00402133">
              <w:rPr>
                <w:sz w:val="22"/>
                <w:szCs w:val="22"/>
                <w:lang w:eastAsia="en-US"/>
              </w:rPr>
              <w:t xml:space="preserve"> </w:t>
            </w:r>
            <w:r w:rsidRPr="00402133">
              <w:rPr>
                <w:sz w:val="22"/>
                <w:szCs w:val="22"/>
                <w:lang w:val="en-US" w:eastAsia="en-US"/>
              </w:rPr>
              <w:t>Service</w:t>
            </w:r>
            <w:r w:rsidRPr="00402133">
              <w:rPr>
                <w:sz w:val="22"/>
                <w:szCs w:val="22"/>
                <w:lang w:eastAsia="en-US"/>
              </w:rPr>
              <w:t>) и ниже допускается в случае, если уже после приобретения облигаций в состав активов фонда произошло снижение оценок рейтинговыми агентствами.</w:t>
            </w:r>
          </w:p>
          <w:p w14:paraId="672BF227" w14:textId="77777777" w:rsidR="00402133" w:rsidRPr="00402133" w:rsidRDefault="00402133" w:rsidP="00402133">
            <w:pPr>
              <w:autoSpaceDE/>
              <w:autoSpaceDN/>
              <w:spacing w:before="120" w:after="120"/>
              <w:ind w:firstLine="708"/>
              <w:jc w:val="both"/>
              <w:rPr>
                <w:sz w:val="22"/>
                <w:szCs w:val="22"/>
                <w:lang w:eastAsia="en-US"/>
              </w:rPr>
            </w:pPr>
            <w:r w:rsidRPr="00402133">
              <w:rPr>
                <w:color w:val="000000" w:themeColor="text1"/>
                <w:sz w:val="22"/>
                <w:szCs w:val="22"/>
                <w:lang w:eastAsia="en-US"/>
              </w:rPr>
              <w:t xml:space="preserve">В случае отсутствия международного рейтинга для российских объектов </w:t>
            </w:r>
            <w:proofErr w:type="spellStart"/>
            <w:r w:rsidRPr="00402133">
              <w:rPr>
                <w:color w:val="000000" w:themeColor="text1"/>
                <w:sz w:val="22"/>
                <w:szCs w:val="22"/>
                <w:lang w:eastAsia="en-US"/>
              </w:rPr>
              <w:t>рейтингования</w:t>
            </w:r>
            <w:proofErr w:type="spellEnd"/>
            <w:r w:rsidRPr="00402133">
              <w:rPr>
                <w:color w:val="000000" w:themeColor="text1"/>
                <w:sz w:val="22"/>
                <w:szCs w:val="22"/>
                <w:lang w:eastAsia="en-US"/>
              </w:rPr>
              <w:t xml:space="preserve"> (российских эмитентов) применяются следующие принципы:</w:t>
            </w:r>
            <w:r w:rsidRPr="00402133">
              <w:rPr>
                <w:color w:val="1F497D"/>
                <w:sz w:val="22"/>
                <w:szCs w:val="22"/>
                <w:lang w:eastAsia="en-US"/>
              </w:rPr>
              <w:t xml:space="preserve"> </w:t>
            </w:r>
            <w:r w:rsidRPr="00402133">
              <w:rPr>
                <w:sz w:val="22"/>
                <w:szCs w:val="22"/>
                <w:lang w:eastAsia="en-US"/>
              </w:rPr>
              <w:t>рассматривается широкий спектр облигаций в диапазоне кредитных рейтингов не ниже «</w:t>
            </w:r>
            <w:r w:rsidRPr="00402133">
              <w:rPr>
                <w:sz w:val="22"/>
                <w:szCs w:val="22"/>
                <w:lang w:val="en-US" w:eastAsia="en-US"/>
              </w:rPr>
              <w:t>BB</w:t>
            </w:r>
            <w:r w:rsidRPr="00402133">
              <w:rPr>
                <w:sz w:val="22"/>
                <w:szCs w:val="22"/>
                <w:lang w:eastAsia="en-US"/>
              </w:rPr>
              <w:t xml:space="preserve"> (</w:t>
            </w:r>
            <w:r w:rsidRPr="00402133">
              <w:rPr>
                <w:sz w:val="22"/>
                <w:szCs w:val="22"/>
                <w:lang w:val="en-US" w:eastAsia="en-US"/>
              </w:rPr>
              <w:t>RU</w:t>
            </w:r>
            <w:r w:rsidRPr="00402133">
              <w:rPr>
                <w:sz w:val="22"/>
                <w:szCs w:val="22"/>
                <w:lang w:eastAsia="en-US"/>
              </w:rPr>
              <w:t>)» по национальной рейтинговой шкале для Российской Федерации кредитного рейтингового агентства АКРА («</w:t>
            </w:r>
            <w:proofErr w:type="spellStart"/>
            <w:r w:rsidRPr="00402133">
              <w:rPr>
                <w:sz w:val="22"/>
                <w:szCs w:val="22"/>
                <w:lang w:val="en-US" w:eastAsia="en-US"/>
              </w:rPr>
              <w:t>ru</w:t>
            </w:r>
            <w:proofErr w:type="spellEnd"/>
            <w:r w:rsidRPr="00402133">
              <w:rPr>
                <w:sz w:val="22"/>
                <w:szCs w:val="22"/>
                <w:lang w:eastAsia="en-US"/>
              </w:rPr>
              <w:t>ВВ» по национальной рейтинговой шкале для Российской Федерации кредитного рейтингового агентства АО «Эксперт РА»). При этом предпочтение в первую очередь отдается эмитентам облигаций с кредитными рейтингами не ниже «А+ (</w:t>
            </w:r>
            <w:r w:rsidRPr="00402133">
              <w:rPr>
                <w:sz w:val="22"/>
                <w:szCs w:val="22"/>
                <w:lang w:val="en-US" w:eastAsia="en-US"/>
              </w:rPr>
              <w:t>RU</w:t>
            </w:r>
            <w:r w:rsidRPr="00402133">
              <w:rPr>
                <w:sz w:val="22"/>
                <w:szCs w:val="22"/>
                <w:lang w:eastAsia="en-US"/>
              </w:rPr>
              <w:t>)» по национальной рейтинговой шкале для Российской Федерации кредитного рейтингового агентства АКРА («</w:t>
            </w:r>
            <w:proofErr w:type="spellStart"/>
            <w:r w:rsidRPr="00402133">
              <w:rPr>
                <w:sz w:val="22"/>
                <w:szCs w:val="22"/>
                <w:lang w:val="en-US" w:eastAsia="en-US"/>
              </w:rPr>
              <w:t>ruA</w:t>
            </w:r>
            <w:proofErr w:type="spellEnd"/>
            <w:r w:rsidRPr="00402133">
              <w:rPr>
                <w:sz w:val="22"/>
                <w:szCs w:val="22"/>
                <w:lang w:eastAsia="en-US"/>
              </w:rPr>
              <w:t>+» по национальной рейтинговой шкале для Российской Федерации кредитного рейтингового агентства АО «Эксперт РА»). Инвестирование в долговые финансовые инструменты с кредитными рейтингами ниже «А+ (</w:t>
            </w:r>
            <w:r w:rsidRPr="00402133">
              <w:rPr>
                <w:sz w:val="22"/>
                <w:szCs w:val="22"/>
                <w:lang w:val="en-US" w:eastAsia="en-US"/>
              </w:rPr>
              <w:t>RU</w:t>
            </w:r>
            <w:r w:rsidRPr="00402133">
              <w:rPr>
                <w:sz w:val="22"/>
                <w:szCs w:val="22"/>
                <w:lang w:eastAsia="en-US"/>
              </w:rPr>
              <w:t>)» по национальной рейтинговой шкале для Российской Федерации кредитного рейтингового агентства АКРА («</w:t>
            </w:r>
            <w:proofErr w:type="spellStart"/>
            <w:r w:rsidRPr="00402133">
              <w:rPr>
                <w:sz w:val="22"/>
                <w:szCs w:val="22"/>
                <w:lang w:val="en-US" w:eastAsia="en-US"/>
              </w:rPr>
              <w:t>ruA</w:t>
            </w:r>
            <w:proofErr w:type="spellEnd"/>
            <w:r w:rsidRPr="00402133">
              <w:rPr>
                <w:sz w:val="22"/>
                <w:szCs w:val="22"/>
                <w:lang w:eastAsia="en-US"/>
              </w:rPr>
              <w:t xml:space="preserve">+» по национальной рейтинговой шкале для Российской Федерации кредитного рейтингового агентства АО «Эксперт РА») принимается управляющей компанией только в случае, если в результате проведенного кредитного анализа ожидается существенное улучшение кредитного качества рассматриваемого заемщика. </w:t>
            </w:r>
          </w:p>
          <w:p w14:paraId="1BF5BA81" w14:textId="77777777" w:rsidR="00402133" w:rsidRPr="00402133" w:rsidRDefault="00402133" w:rsidP="00402133">
            <w:pPr>
              <w:autoSpaceDE/>
              <w:autoSpaceDN/>
              <w:spacing w:before="120" w:after="120"/>
              <w:ind w:firstLine="708"/>
              <w:jc w:val="both"/>
              <w:rPr>
                <w:sz w:val="22"/>
                <w:szCs w:val="22"/>
                <w:lang w:eastAsia="en-US"/>
              </w:rPr>
            </w:pPr>
            <w:r w:rsidRPr="00402133">
              <w:rPr>
                <w:sz w:val="22"/>
                <w:szCs w:val="22"/>
                <w:lang w:eastAsia="en-US"/>
              </w:rPr>
              <w:t>Финансовые инструменты с кредитными рейтингами ниже «</w:t>
            </w:r>
            <w:r w:rsidRPr="00402133">
              <w:rPr>
                <w:sz w:val="22"/>
                <w:szCs w:val="22"/>
                <w:lang w:val="en-US" w:eastAsia="en-US"/>
              </w:rPr>
              <w:t>BB</w:t>
            </w:r>
            <w:r w:rsidRPr="00402133">
              <w:rPr>
                <w:sz w:val="22"/>
                <w:szCs w:val="22"/>
                <w:lang w:eastAsia="en-US"/>
              </w:rPr>
              <w:t xml:space="preserve"> (</w:t>
            </w:r>
            <w:r w:rsidRPr="00402133">
              <w:rPr>
                <w:sz w:val="22"/>
                <w:szCs w:val="22"/>
                <w:lang w:val="en-US" w:eastAsia="en-US"/>
              </w:rPr>
              <w:t>RU</w:t>
            </w:r>
            <w:r w:rsidRPr="00402133">
              <w:rPr>
                <w:sz w:val="22"/>
                <w:szCs w:val="22"/>
                <w:lang w:eastAsia="en-US"/>
              </w:rPr>
              <w:t>)» по национальной рейтинговой шкале для Российской Федерации кредитного рейтингового агентства АКРА («</w:t>
            </w:r>
            <w:proofErr w:type="spellStart"/>
            <w:r w:rsidRPr="00402133">
              <w:rPr>
                <w:sz w:val="22"/>
                <w:szCs w:val="22"/>
                <w:lang w:val="en-US" w:eastAsia="en-US"/>
              </w:rPr>
              <w:t>ru</w:t>
            </w:r>
            <w:proofErr w:type="spellEnd"/>
            <w:r w:rsidRPr="00402133">
              <w:rPr>
                <w:sz w:val="22"/>
                <w:szCs w:val="22"/>
                <w:lang w:eastAsia="en-US"/>
              </w:rPr>
              <w:t>ВВ» по национальной рейтинговой шкале для Российской Федерации кредитного рейтингового агентства АО «Эксперт РА») не приобретаются в состав активов фонда. Наличие в составе активов фонда облигаций с кредитным рейтингом «ВВ (</w:t>
            </w:r>
            <w:r w:rsidRPr="00402133">
              <w:rPr>
                <w:sz w:val="22"/>
                <w:szCs w:val="22"/>
                <w:lang w:val="en-US" w:eastAsia="en-US"/>
              </w:rPr>
              <w:t>RU</w:t>
            </w:r>
            <w:r w:rsidRPr="00402133">
              <w:rPr>
                <w:sz w:val="22"/>
                <w:szCs w:val="22"/>
                <w:lang w:eastAsia="en-US"/>
              </w:rPr>
              <w:t>)» по национальной рейтинговой шкале для Российской Федерации кредитного рейтингового агентства АКРА («</w:t>
            </w:r>
            <w:proofErr w:type="spellStart"/>
            <w:r w:rsidRPr="00402133">
              <w:rPr>
                <w:sz w:val="22"/>
                <w:szCs w:val="22"/>
                <w:lang w:val="en-US" w:eastAsia="en-US"/>
              </w:rPr>
              <w:t>ru</w:t>
            </w:r>
            <w:proofErr w:type="spellEnd"/>
            <w:r w:rsidRPr="00402133">
              <w:rPr>
                <w:sz w:val="22"/>
                <w:szCs w:val="22"/>
                <w:lang w:eastAsia="en-US"/>
              </w:rPr>
              <w:t>ВВ» по национальной рейтинговой шкале для Российской Федерации кредитного рейтингового агентства АО «Эксперт РА») и ниже допускается в случае, если уже после приобретения облигаций в состав активов фонда произошло снижение оценок рейтинговыми агентствами.</w:t>
            </w:r>
          </w:p>
          <w:p w14:paraId="3D00B5C3" w14:textId="77777777" w:rsidR="00402133" w:rsidRPr="00402133" w:rsidRDefault="00402133" w:rsidP="00E005E4">
            <w:pPr>
              <w:numPr>
                <w:ilvl w:val="1"/>
                <w:numId w:val="5"/>
              </w:numPr>
              <w:autoSpaceDE/>
              <w:autoSpaceDN/>
              <w:spacing w:before="120" w:after="120"/>
              <w:rPr>
                <w:sz w:val="22"/>
                <w:szCs w:val="22"/>
              </w:rPr>
            </w:pPr>
            <w:r w:rsidRPr="00402133">
              <w:rPr>
                <w:sz w:val="22"/>
                <w:szCs w:val="22"/>
              </w:rPr>
              <w:t>Пересмотр портфеля активов фонда</w:t>
            </w:r>
          </w:p>
          <w:p w14:paraId="5F49DDF1" w14:textId="77777777" w:rsidR="00402133" w:rsidRPr="00402133" w:rsidRDefault="00402133" w:rsidP="00402133">
            <w:pPr>
              <w:autoSpaceDE/>
              <w:autoSpaceDN/>
              <w:ind w:firstLine="708"/>
              <w:jc w:val="both"/>
              <w:rPr>
                <w:sz w:val="22"/>
                <w:szCs w:val="22"/>
                <w:lang w:eastAsia="en-US"/>
              </w:rPr>
            </w:pPr>
            <w:r w:rsidRPr="00402133">
              <w:rPr>
                <w:sz w:val="22"/>
                <w:szCs w:val="22"/>
                <w:lang w:eastAsia="en-US"/>
              </w:rPr>
              <w:t xml:space="preserve">В фонде реализуется стратегия активного управления, что подразумевает постоянные действия по анализу позиционирования портфеля облигаций на кривой доходности (выбору целевой средневзвешенной </w:t>
            </w:r>
            <w:proofErr w:type="spellStart"/>
            <w:r w:rsidRPr="00402133">
              <w:rPr>
                <w:sz w:val="22"/>
                <w:szCs w:val="22"/>
                <w:lang w:eastAsia="en-US"/>
              </w:rPr>
              <w:t>дюрации</w:t>
            </w:r>
            <w:proofErr w:type="spellEnd"/>
            <w:r w:rsidRPr="00402133">
              <w:rPr>
                <w:sz w:val="22"/>
                <w:szCs w:val="22"/>
                <w:lang w:eastAsia="en-US"/>
              </w:rPr>
              <w:t xml:space="preserve"> портфеля) и, при необходимости, изменение такого позиционирования в зависимости от изменения макроэкономической конъюнктуры и/или изменение структуры и состава портфеля активов фонда в случае появления лучших с точки зрения соотношения риска и доходности вариантов для инвестирования по сравнению с имеющимися в портфеле. </w:t>
            </w:r>
          </w:p>
          <w:p w14:paraId="2FD45A2B" w14:textId="77777777" w:rsidR="00402133" w:rsidRPr="00402133" w:rsidRDefault="00402133" w:rsidP="00402133">
            <w:pPr>
              <w:autoSpaceDE/>
              <w:autoSpaceDN/>
              <w:ind w:firstLine="708"/>
              <w:jc w:val="both"/>
              <w:rPr>
                <w:sz w:val="22"/>
                <w:szCs w:val="22"/>
                <w:lang w:eastAsia="en-US"/>
              </w:rPr>
            </w:pPr>
            <w:r w:rsidRPr="00402133">
              <w:rPr>
                <w:sz w:val="22"/>
                <w:szCs w:val="22"/>
                <w:lang w:eastAsia="en-US"/>
              </w:rPr>
              <w:t xml:space="preserve">В ходе постоянного мониторинга макроэкономических показателей управляющая компания принимает решения об изменении средневзвешенной величины </w:t>
            </w:r>
            <w:proofErr w:type="spellStart"/>
            <w:r w:rsidRPr="00402133">
              <w:rPr>
                <w:sz w:val="22"/>
                <w:szCs w:val="22"/>
                <w:lang w:eastAsia="en-US"/>
              </w:rPr>
              <w:t>дюрации</w:t>
            </w:r>
            <w:proofErr w:type="spellEnd"/>
            <w:r w:rsidRPr="00402133">
              <w:rPr>
                <w:sz w:val="22"/>
                <w:szCs w:val="22"/>
                <w:lang w:eastAsia="en-US"/>
              </w:rPr>
              <w:t xml:space="preserve"> портфеля. Так, например, если в ходе проведенного макроэкономического анализа управляющей компанией будет сформировано суждение об ожидаемом росте инфляции, и, как следствие, последующем росте процентных ставок, то </w:t>
            </w:r>
            <w:proofErr w:type="spellStart"/>
            <w:r w:rsidRPr="00402133">
              <w:rPr>
                <w:sz w:val="22"/>
                <w:szCs w:val="22"/>
                <w:lang w:eastAsia="en-US"/>
              </w:rPr>
              <w:t>дюрация</w:t>
            </w:r>
            <w:proofErr w:type="spellEnd"/>
            <w:r w:rsidRPr="00402133">
              <w:rPr>
                <w:sz w:val="22"/>
                <w:szCs w:val="22"/>
                <w:lang w:eastAsia="en-US"/>
              </w:rPr>
              <w:t xml:space="preserve"> портфеля будет снижена и наоборот.</w:t>
            </w:r>
          </w:p>
          <w:p w14:paraId="0093E184" w14:textId="77777777" w:rsidR="00402133" w:rsidRPr="00402133" w:rsidRDefault="00402133" w:rsidP="00402133">
            <w:pPr>
              <w:autoSpaceDE/>
              <w:autoSpaceDN/>
              <w:ind w:firstLine="708"/>
              <w:jc w:val="both"/>
              <w:rPr>
                <w:sz w:val="22"/>
                <w:szCs w:val="22"/>
                <w:lang w:eastAsia="en-US"/>
              </w:rPr>
            </w:pPr>
            <w:r w:rsidRPr="00402133">
              <w:rPr>
                <w:sz w:val="22"/>
                <w:szCs w:val="22"/>
                <w:lang w:eastAsia="en-US"/>
              </w:rPr>
              <w:t>В части анализа эмитентов и формирования экспертного мнения относительно кредитного качества эмитента осуществляется постоянный мониторинг новостного фона, заявлений менеджмента, корпоративных действий эмитента и другой существенной информации. На основе полученных данных, их оценки управляющей компанией может быть принято решение об увеличении и/или уменьшении позиции в долговых финансовых инструментах эмитента в зависимости от изменения в ту или иную сторону ожиданий относительно будущего кредитного качества эмитента.</w:t>
            </w:r>
          </w:p>
          <w:p w14:paraId="443F39C7" w14:textId="77777777" w:rsidR="00402133" w:rsidRPr="00402133" w:rsidRDefault="00402133" w:rsidP="00402133">
            <w:pPr>
              <w:autoSpaceDE/>
              <w:autoSpaceDN/>
              <w:ind w:firstLine="720"/>
              <w:jc w:val="both"/>
              <w:rPr>
                <w:sz w:val="22"/>
                <w:szCs w:val="22"/>
                <w:lang w:eastAsia="en-US"/>
              </w:rPr>
            </w:pPr>
            <w:r w:rsidRPr="00402133">
              <w:rPr>
                <w:sz w:val="22"/>
                <w:szCs w:val="22"/>
                <w:lang w:eastAsia="en-US"/>
              </w:rPr>
              <w:t>В рамках процесса контроля рисков реализуются процедуры инвестиционного контроля, который осуществляется на пред - торговой основе. Процедуры инвестиционного контроля подразумевают контроль соблюдения ограничений законодательства, инвестиционной декларации, а также внутренних ограничений управляющей компании, направленных на контроль и ограничение инвестиционных рисков.</w:t>
            </w:r>
          </w:p>
          <w:p w14:paraId="4898634E" w14:textId="77777777" w:rsidR="00402133" w:rsidRPr="00402133" w:rsidRDefault="00402133" w:rsidP="00402133">
            <w:pPr>
              <w:autoSpaceDE/>
              <w:autoSpaceDN/>
              <w:ind w:firstLine="720"/>
              <w:jc w:val="both"/>
              <w:rPr>
                <w:sz w:val="22"/>
                <w:szCs w:val="22"/>
                <w:lang w:eastAsia="en-US"/>
              </w:rPr>
            </w:pPr>
          </w:p>
          <w:p w14:paraId="19268EBD" w14:textId="77777777" w:rsidR="00402133" w:rsidRPr="00402133" w:rsidRDefault="00402133" w:rsidP="00E005E4">
            <w:pPr>
              <w:numPr>
                <w:ilvl w:val="1"/>
                <w:numId w:val="5"/>
              </w:numPr>
              <w:autoSpaceDE/>
              <w:autoSpaceDN/>
              <w:jc w:val="both"/>
              <w:rPr>
                <w:sz w:val="22"/>
                <w:szCs w:val="22"/>
              </w:rPr>
            </w:pPr>
            <w:proofErr w:type="spellStart"/>
            <w:r w:rsidRPr="00402133">
              <w:rPr>
                <w:sz w:val="22"/>
                <w:szCs w:val="22"/>
              </w:rPr>
              <w:t>Бенчмарк</w:t>
            </w:r>
            <w:proofErr w:type="spellEnd"/>
          </w:p>
          <w:p w14:paraId="773EB59C" w14:textId="77777777" w:rsidR="00402133" w:rsidRPr="00402133" w:rsidRDefault="00402133" w:rsidP="00E005E4">
            <w:pPr>
              <w:numPr>
                <w:ilvl w:val="0"/>
                <w:numId w:val="4"/>
              </w:numPr>
              <w:autoSpaceDE/>
              <w:autoSpaceDN/>
              <w:ind w:left="0" w:firstLine="357"/>
              <w:jc w:val="both"/>
              <w:textAlignment w:val="baseline"/>
              <w:outlineLvl w:val="0"/>
              <w:rPr>
                <w:bCs/>
                <w:kern w:val="36"/>
                <w:sz w:val="22"/>
                <w:szCs w:val="22"/>
                <w:lang w:eastAsia="en-US"/>
              </w:rPr>
            </w:pPr>
            <w:r w:rsidRPr="00402133">
              <w:rPr>
                <w:bCs/>
                <w:kern w:val="36"/>
                <w:sz w:val="22"/>
                <w:szCs w:val="22"/>
                <w:lang w:eastAsia="en-US"/>
              </w:rPr>
              <w:t>Р</w:t>
            </w:r>
            <w:r w:rsidRPr="00402133">
              <w:rPr>
                <w:bCs/>
                <w:color w:val="000000" w:themeColor="text1"/>
                <w:kern w:val="36"/>
                <w:sz w:val="22"/>
                <w:szCs w:val="22"/>
                <w:lang w:eastAsia="en-US"/>
              </w:rPr>
              <w:t>езультативность реализации инвестиционной стратегии оценивается управляющей компанией по отношению к изменениям количественных показателей индекса «</w:t>
            </w:r>
            <w:proofErr w:type="spellStart"/>
            <w:r w:rsidRPr="00B35C69">
              <w:rPr>
                <w:bCs/>
                <w:kern w:val="36"/>
                <w:sz w:val="22"/>
                <w:szCs w:val="22"/>
                <w:lang w:val="en-US"/>
              </w:rPr>
              <w:t>Cbonds</w:t>
            </w:r>
            <w:proofErr w:type="spellEnd"/>
            <w:r w:rsidRPr="00B35C69">
              <w:rPr>
                <w:bCs/>
                <w:kern w:val="36"/>
                <w:sz w:val="22"/>
                <w:szCs w:val="22"/>
              </w:rPr>
              <w:t xml:space="preserve"> </w:t>
            </w:r>
            <w:r w:rsidRPr="00B35C69">
              <w:rPr>
                <w:bCs/>
                <w:kern w:val="36"/>
                <w:sz w:val="22"/>
                <w:szCs w:val="22"/>
                <w:lang w:val="en-US"/>
              </w:rPr>
              <w:t>Russia</w:t>
            </w:r>
            <w:r w:rsidRPr="00B35C69">
              <w:rPr>
                <w:bCs/>
                <w:kern w:val="36"/>
                <w:sz w:val="22"/>
                <w:szCs w:val="22"/>
              </w:rPr>
              <w:t xml:space="preserve"> </w:t>
            </w:r>
            <w:r w:rsidRPr="00B35C69">
              <w:rPr>
                <w:bCs/>
                <w:kern w:val="36"/>
                <w:sz w:val="22"/>
                <w:szCs w:val="22"/>
                <w:lang w:val="en-US"/>
              </w:rPr>
              <w:t>Sovereign</w:t>
            </w:r>
            <w:r w:rsidRPr="00B35C69">
              <w:rPr>
                <w:bCs/>
                <w:kern w:val="36"/>
                <w:sz w:val="22"/>
                <w:szCs w:val="22"/>
              </w:rPr>
              <w:t xml:space="preserve"> </w:t>
            </w:r>
            <w:r w:rsidRPr="00B35C69">
              <w:rPr>
                <w:bCs/>
                <w:kern w:val="36"/>
                <w:sz w:val="22"/>
                <w:szCs w:val="22"/>
                <w:lang w:val="en-US"/>
              </w:rPr>
              <w:t>USD</w:t>
            </w:r>
            <w:r w:rsidRPr="00B35C69">
              <w:rPr>
                <w:bCs/>
                <w:kern w:val="36"/>
                <w:sz w:val="22"/>
                <w:szCs w:val="22"/>
              </w:rPr>
              <w:t xml:space="preserve"> </w:t>
            </w:r>
            <w:r w:rsidRPr="00B35C69">
              <w:rPr>
                <w:bCs/>
                <w:kern w:val="36"/>
                <w:sz w:val="22"/>
                <w:szCs w:val="22"/>
                <w:lang w:val="en-US"/>
              </w:rPr>
              <w:t>Index</w:t>
            </w:r>
            <w:r w:rsidRPr="00402133">
              <w:rPr>
                <w:bCs/>
                <w:kern w:val="36"/>
                <w:sz w:val="22"/>
                <w:szCs w:val="22"/>
                <w:lang w:eastAsia="en-US"/>
              </w:rPr>
              <w:t xml:space="preserve">» (далее – Индекс). </w:t>
            </w:r>
          </w:p>
          <w:p w14:paraId="3BCA106B" w14:textId="77777777" w:rsidR="00402133" w:rsidRPr="00402133" w:rsidRDefault="00402133" w:rsidP="00E005E4">
            <w:pPr>
              <w:numPr>
                <w:ilvl w:val="0"/>
                <w:numId w:val="4"/>
              </w:numPr>
              <w:autoSpaceDE/>
              <w:autoSpaceDN/>
              <w:ind w:left="0" w:firstLine="357"/>
              <w:jc w:val="both"/>
              <w:textAlignment w:val="baseline"/>
              <w:outlineLvl w:val="0"/>
              <w:rPr>
                <w:bCs/>
                <w:kern w:val="36"/>
                <w:sz w:val="22"/>
                <w:szCs w:val="22"/>
                <w:lang w:eastAsia="en-US"/>
              </w:rPr>
            </w:pPr>
            <w:r w:rsidRPr="00402133">
              <w:rPr>
                <w:bCs/>
                <w:kern w:val="36"/>
                <w:sz w:val="22"/>
                <w:szCs w:val="22"/>
                <w:lang w:eastAsia="en-US"/>
              </w:rPr>
              <w:t xml:space="preserve">Сведения о порядке расчета указанных индексов раскрываются на интернет сайте </w:t>
            </w:r>
            <w:hyperlink r:id="rId11" w:history="1">
              <w:r w:rsidRPr="00402133">
                <w:rPr>
                  <w:bCs/>
                  <w:color w:val="0000FF"/>
                  <w:kern w:val="36"/>
                  <w:sz w:val="22"/>
                  <w:szCs w:val="22"/>
                  <w:u w:val="single"/>
                  <w:lang w:val="en-US" w:eastAsia="en-US"/>
                </w:rPr>
                <w:t>www</w:t>
              </w:r>
              <w:r w:rsidRPr="00402133">
                <w:rPr>
                  <w:bCs/>
                  <w:color w:val="0000FF"/>
                  <w:kern w:val="36"/>
                  <w:sz w:val="22"/>
                  <w:szCs w:val="22"/>
                  <w:u w:val="single"/>
                  <w:lang w:eastAsia="en-US"/>
                </w:rPr>
                <w:t>.</w:t>
              </w:r>
              <w:proofErr w:type="spellStart"/>
              <w:r w:rsidRPr="00402133">
                <w:rPr>
                  <w:bCs/>
                  <w:color w:val="0000FF"/>
                  <w:kern w:val="36"/>
                  <w:sz w:val="22"/>
                  <w:szCs w:val="22"/>
                  <w:u w:val="single"/>
                  <w:lang w:val="en-US" w:eastAsia="en-US"/>
                </w:rPr>
                <w:t>cbonds</w:t>
              </w:r>
              <w:proofErr w:type="spellEnd"/>
              <w:r w:rsidRPr="00402133">
                <w:rPr>
                  <w:bCs/>
                  <w:color w:val="0000FF"/>
                  <w:kern w:val="36"/>
                  <w:sz w:val="22"/>
                  <w:szCs w:val="22"/>
                  <w:u w:val="single"/>
                  <w:lang w:eastAsia="en-US"/>
                </w:rPr>
                <w:t>.</w:t>
              </w:r>
              <w:proofErr w:type="spellStart"/>
              <w:r w:rsidRPr="00402133">
                <w:rPr>
                  <w:bCs/>
                  <w:color w:val="0000FF"/>
                  <w:kern w:val="36"/>
                  <w:sz w:val="22"/>
                  <w:szCs w:val="22"/>
                  <w:u w:val="single"/>
                  <w:lang w:val="en-US" w:eastAsia="en-US"/>
                </w:rPr>
                <w:t>ru</w:t>
              </w:r>
              <w:proofErr w:type="spellEnd"/>
            </w:hyperlink>
            <w:r w:rsidRPr="00402133">
              <w:rPr>
                <w:bCs/>
                <w:kern w:val="36"/>
                <w:sz w:val="22"/>
                <w:szCs w:val="22"/>
                <w:lang w:eastAsia="en-US"/>
              </w:rPr>
              <w:t xml:space="preserve">. </w:t>
            </w:r>
          </w:p>
          <w:p w14:paraId="63B92052" w14:textId="71F4B2CE" w:rsidR="00027326" w:rsidRPr="00DA4402" w:rsidRDefault="00402133" w:rsidP="00851359">
            <w:pPr>
              <w:numPr>
                <w:ilvl w:val="0"/>
                <w:numId w:val="4"/>
              </w:numPr>
              <w:autoSpaceDE/>
              <w:autoSpaceDN/>
              <w:ind w:left="0" w:firstLine="357"/>
              <w:jc w:val="both"/>
              <w:textAlignment w:val="baseline"/>
              <w:outlineLvl w:val="0"/>
            </w:pPr>
            <w:r w:rsidRPr="00402133">
              <w:rPr>
                <w:bCs/>
                <w:color w:val="000000" w:themeColor="text1"/>
                <w:kern w:val="36"/>
                <w:sz w:val="22"/>
                <w:szCs w:val="22"/>
                <w:lang w:eastAsia="en-US"/>
              </w:rPr>
              <w:t>Лицо, осуществляющее расчет указанного Индекса ООО «</w:t>
            </w:r>
            <w:proofErr w:type="spellStart"/>
            <w:r w:rsidRPr="00402133">
              <w:rPr>
                <w:bCs/>
                <w:color w:val="000000" w:themeColor="text1"/>
                <w:kern w:val="36"/>
                <w:sz w:val="22"/>
                <w:szCs w:val="22"/>
                <w:lang w:eastAsia="en-US"/>
              </w:rPr>
              <w:t>Сбондс.ру</w:t>
            </w:r>
            <w:proofErr w:type="spellEnd"/>
            <w:r w:rsidRPr="00402133">
              <w:rPr>
                <w:bCs/>
                <w:color w:val="000000" w:themeColor="text1"/>
                <w:kern w:val="36"/>
                <w:sz w:val="22"/>
                <w:szCs w:val="22"/>
                <w:lang w:eastAsia="en-US"/>
              </w:rPr>
              <w:t>», ИНН 7801182940.</w:t>
            </w:r>
          </w:p>
        </w:tc>
        <w:tc>
          <w:tcPr>
            <w:tcW w:w="4253" w:type="dxa"/>
            <w:shd w:val="clear" w:color="auto" w:fill="auto"/>
            <w:vAlign w:val="center"/>
          </w:tcPr>
          <w:p w14:paraId="6588DCCB" w14:textId="77777777" w:rsidR="00B53E75" w:rsidRPr="00BD39AF" w:rsidRDefault="00B53E75" w:rsidP="00B53E75">
            <w:pPr>
              <w:autoSpaceDE/>
              <w:autoSpaceDN/>
              <w:spacing w:before="60" w:after="60"/>
              <w:jc w:val="both"/>
              <w:rPr>
                <w:sz w:val="22"/>
                <w:szCs w:val="22"/>
              </w:rPr>
            </w:pPr>
            <w:r w:rsidRPr="00BD39AF">
              <w:rPr>
                <w:color w:val="000000" w:themeColor="text1"/>
                <w:sz w:val="22"/>
                <w:szCs w:val="22"/>
              </w:rPr>
              <w:lastRenderedPageBreak/>
              <w:t>Сведения о способе реализации управляющей компанией инвестиционной стратегии.</w:t>
            </w:r>
          </w:p>
          <w:p w14:paraId="4E8B3269" w14:textId="77777777" w:rsidR="00B53E75" w:rsidRPr="00BD39AF" w:rsidRDefault="00B53E75" w:rsidP="00B53E75">
            <w:pPr>
              <w:contextualSpacing/>
              <w:jc w:val="both"/>
              <w:rPr>
                <w:sz w:val="22"/>
                <w:szCs w:val="22"/>
              </w:rPr>
            </w:pPr>
            <w:r w:rsidRPr="00BD39AF">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 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4D19B7BE" w14:textId="6AB0148F" w:rsidR="00B53E75" w:rsidRPr="00BD39AF" w:rsidRDefault="00B53E75" w:rsidP="00B53E75">
            <w:pPr>
              <w:autoSpaceDE/>
              <w:autoSpaceDN/>
              <w:spacing w:before="60" w:after="60"/>
              <w:ind w:firstLine="720"/>
              <w:jc w:val="both"/>
              <w:rPr>
                <w:sz w:val="22"/>
                <w:szCs w:val="22"/>
                <w:lang w:eastAsia="en-US"/>
              </w:rPr>
            </w:pPr>
            <w:r w:rsidRPr="00BD39AF">
              <w:rPr>
                <w:sz w:val="22"/>
                <w:szCs w:val="22"/>
                <w:lang w:eastAsia="en-US"/>
              </w:rPr>
              <w:t>Преимущественным объектом инвестирования являются облигации, номинированные в иностранной валюте.</w:t>
            </w:r>
          </w:p>
          <w:p w14:paraId="2638E0C4" w14:textId="180EDEC8" w:rsidR="002B0C14" w:rsidRPr="00042FA0" w:rsidRDefault="002B0C14" w:rsidP="00E005E4">
            <w:pPr>
              <w:pStyle w:val="afd"/>
              <w:numPr>
                <w:ilvl w:val="1"/>
                <w:numId w:val="10"/>
              </w:numPr>
              <w:rPr>
                <w:sz w:val="22"/>
                <w:szCs w:val="22"/>
              </w:rPr>
            </w:pPr>
            <w:r w:rsidRPr="00042FA0">
              <w:rPr>
                <w:sz w:val="22"/>
                <w:szCs w:val="22"/>
              </w:rPr>
              <w:t>Формирование портфеля активов фонда</w:t>
            </w:r>
          </w:p>
          <w:p w14:paraId="6A21BA92" w14:textId="77777777" w:rsidR="00D62C74" w:rsidRDefault="002B0C14" w:rsidP="00D62C74">
            <w:pPr>
              <w:autoSpaceDE/>
              <w:autoSpaceDN/>
              <w:spacing w:before="120"/>
              <w:ind w:firstLine="708"/>
              <w:jc w:val="both"/>
              <w:rPr>
                <w:sz w:val="22"/>
                <w:szCs w:val="22"/>
                <w:lang w:eastAsia="en-US"/>
              </w:rPr>
            </w:pPr>
            <w:r w:rsidRPr="00042FA0">
              <w:rPr>
                <w:sz w:val="22"/>
                <w:szCs w:val="22"/>
                <w:lang w:eastAsia="en-US"/>
              </w:rPr>
              <w:t xml:space="preserve">Принятие управляющей компанией решения о включении тех или иных активов в модельный портфель фонда осуществляется </w:t>
            </w:r>
            <w:r w:rsidRPr="00042FA0">
              <w:rPr>
                <w:color w:val="000000" w:themeColor="text1"/>
                <w:sz w:val="22"/>
                <w:szCs w:val="22"/>
                <w:lang w:eastAsia="en-US"/>
              </w:rPr>
              <w:t xml:space="preserve">на основе как </w:t>
            </w:r>
            <w:r w:rsidRPr="00042FA0">
              <w:rPr>
                <w:sz w:val="22"/>
                <w:szCs w:val="22"/>
                <w:lang w:eastAsia="en-US"/>
              </w:rPr>
              <w:t xml:space="preserve">макроэкономического анализа, так и анализа фундаментальных показателей эмитентов для оценки их кредитного качества с учетом имеющейся у управляющей компании информационной и торговой инфраструктуры для совершения сделок с ценными бумагами </w:t>
            </w:r>
            <w:r w:rsidRPr="00042FA0">
              <w:rPr>
                <w:sz w:val="22"/>
                <w:szCs w:val="22"/>
                <w:lang w:eastAsia="en-US"/>
              </w:rPr>
              <w:lastRenderedPageBreak/>
              <w:t>(активами), составляющими имущество фонда.</w:t>
            </w:r>
          </w:p>
          <w:p w14:paraId="0011B454" w14:textId="39292190" w:rsidR="002B0C14" w:rsidRPr="00042FA0" w:rsidRDefault="002B0C14" w:rsidP="00D62C74">
            <w:pPr>
              <w:autoSpaceDE/>
              <w:autoSpaceDN/>
              <w:spacing w:before="120"/>
              <w:ind w:firstLine="708"/>
              <w:jc w:val="both"/>
              <w:rPr>
                <w:sz w:val="22"/>
                <w:szCs w:val="22"/>
                <w:lang w:eastAsia="en-US"/>
              </w:rPr>
            </w:pPr>
            <w:r w:rsidRPr="00042FA0">
              <w:rPr>
                <w:sz w:val="22"/>
                <w:szCs w:val="22"/>
                <w:lang w:eastAsia="en-US"/>
              </w:rPr>
              <w:t xml:space="preserve">На основании анализа таких локальных (для экономик стран, в которых эмитентом осуществляется основная деятельность) и глобальных макроэкономических факторов, как валовый внутренний продукт (ВВП), уровень инфляции, показатели государственного бюджета и показатели платежного баланса, уровень покупательной способности и безработицы населения и т.п. формируется мнение </w:t>
            </w:r>
            <w:r w:rsidR="00D62C74">
              <w:rPr>
                <w:sz w:val="22"/>
                <w:szCs w:val="22"/>
                <w:lang w:eastAsia="en-US"/>
              </w:rPr>
              <w:t xml:space="preserve">управляющей компании </w:t>
            </w:r>
            <w:r w:rsidRPr="00042FA0">
              <w:rPr>
                <w:sz w:val="22"/>
                <w:szCs w:val="22"/>
                <w:lang w:eastAsia="en-US"/>
              </w:rPr>
              <w:t>об ожидаемой динамике процентных ставок, форме кривой доходности</w:t>
            </w:r>
            <w:r w:rsidR="00D545E4">
              <w:rPr>
                <w:sz w:val="22"/>
                <w:szCs w:val="22"/>
                <w:lang w:eastAsia="en-US"/>
              </w:rPr>
              <w:t xml:space="preserve"> </w:t>
            </w:r>
            <w:r w:rsidR="00D545E4">
              <w:rPr>
                <w:sz w:val="22"/>
                <w:szCs w:val="22"/>
              </w:rPr>
              <w:t>(</w:t>
            </w:r>
            <w:r w:rsidR="00D545E4" w:rsidRPr="00482639">
              <w:rPr>
                <w:sz w:val="22"/>
                <w:szCs w:val="22"/>
                <w:lang w:val="en-US"/>
              </w:rPr>
              <w:t>Yield</w:t>
            </w:r>
            <w:r w:rsidR="00D545E4" w:rsidRPr="00482639">
              <w:rPr>
                <w:sz w:val="22"/>
                <w:szCs w:val="22"/>
              </w:rPr>
              <w:t xml:space="preserve"> </w:t>
            </w:r>
            <w:r w:rsidR="00D545E4" w:rsidRPr="00482639">
              <w:rPr>
                <w:sz w:val="22"/>
                <w:szCs w:val="22"/>
                <w:lang w:val="en-US"/>
              </w:rPr>
              <w:t>Curve</w:t>
            </w:r>
            <w:r w:rsidR="00D545E4" w:rsidRPr="00482639">
              <w:rPr>
                <w:sz w:val="22"/>
                <w:szCs w:val="22"/>
              </w:rPr>
              <w:t>)</w:t>
            </w:r>
            <w:r w:rsidRPr="00042FA0">
              <w:rPr>
                <w:sz w:val="22"/>
                <w:szCs w:val="22"/>
                <w:lang w:eastAsia="en-US"/>
              </w:rPr>
              <w:t xml:space="preserve">, а также ожидания по изменению кредитных спрэдов (разницы между доходностью облигации и доходностью аналогичной по срочности </w:t>
            </w:r>
            <w:proofErr w:type="spellStart"/>
            <w:r w:rsidRPr="00042FA0">
              <w:rPr>
                <w:sz w:val="22"/>
                <w:szCs w:val="22"/>
                <w:lang w:eastAsia="en-US"/>
              </w:rPr>
              <w:t>безрисковой</w:t>
            </w:r>
            <w:proofErr w:type="spellEnd"/>
            <w:r w:rsidRPr="00042FA0">
              <w:rPr>
                <w:sz w:val="22"/>
                <w:szCs w:val="22"/>
                <w:lang w:eastAsia="en-US"/>
              </w:rPr>
              <w:t xml:space="preserve"> облигации) корпоративных эмитентов для различных групп кредитных рейтингов. В качестве </w:t>
            </w:r>
            <w:proofErr w:type="spellStart"/>
            <w:r w:rsidRPr="00042FA0">
              <w:rPr>
                <w:sz w:val="22"/>
                <w:szCs w:val="22"/>
                <w:lang w:eastAsia="en-US"/>
              </w:rPr>
              <w:t>безрисковой</w:t>
            </w:r>
            <w:proofErr w:type="spellEnd"/>
            <w:r w:rsidRPr="00042FA0">
              <w:rPr>
                <w:sz w:val="22"/>
                <w:szCs w:val="22"/>
                <w:lang w:eastAsia="en-US"/>
              </w:rPr>
              <w:t xml:space="preserve"> облигации для оценки кредитного спреда выбирается соответствующая облигация государственного займа страны, в валюте которой номинирована сопоставляемая облигация.</w:t>
            </w:r>
          </w:p>
          <w:p w14:paraId="217B434E" w14:textId="77777777" w:rsidR="005868F1" w:rsidRPr="00042FA0" w:rsidRDefault="005868F1" w:rsidP="005868F1">
            <w:pPr>
              <w:autoSpaceDE/>
              <w:autoSpaceDN/>
              <w:ind w:firstLine="720"/>
              <w:jc w:val="both"/>
              <w:rPr>
                <w:sz w:val="22"/>
                <w:szCs w:val="22"/>
                <w:lang w:eastAsia="en-US"/>
              </w:rPr>
            </w:pPr>
            <w:r w:rsidRPr="00042FA0">
              <w:rPr>
                <w:sz w:val="22"/>
                <w:szCs w:val="22"/>
                <w:lang w:eastAsia="en-US"/>
              </w:rPr>
              <w:t xml:space="preserve">Анализ кредитного качества эмитентов (выпусков) облигаций осуществляется </w:t>
            </w:r>
            <w:r w:rsidRPr="00042FA0">
              <w:rPr>
                <w:color w:val="000000" w:themeColor="text1"/>
                <w:sz w:val="22"/>
                <w:szCs w:val="22"/>
                <w:lang w:eastAsia="en-US"/>
              </w:rPr>
              <w:t xml:space="preserve">на основе фундаментального анализа таких количественных и качественных характеристик, как </w:t>
            </w:r>
            <w:r w:rsidRPr="00042FA0">
              <w:rPr>
                <w:sz w:val="22"/>
                <w:szCs w:val="22"/>
                <w:lang w:eastAsia="en-US"/>
              </w:rPr>
              <w:t>рентабельность капитала и чистой прибыли, свободный денежный поток, общий уровень долговой нагрузки, степень доступности дополнительных источников привлечения финансирования, кредитные рейтинги рейтинговых агентств, условия выпуска облигаций и т.п.</w:t>
            </w:r>
          </w:p>
          <w:p w14:paraId="5E4DF1CE" w14:textId="3E2AF275" w:rsidR="005868F1" w:rsidRPr="00042FA0" w:rsidRDefault="005868F1" w:rsidP="005868F1">
            <w:pPr>
              <w:autoSpaceDE/>
              <w:autoSpaceDN/>
              <w:spacing w:before="120" w:after="120"/>
              <w:ind w:firstLine="360"/>
              <w:jc w:val="both"/>
              <w:rPr>
                <w:sz w:val="22"/>
                <w:szCs w:val="22"/>
                <w:lang w:eastAsia="en-US"/>
              </w:rPr>
            </w:pPr>
            <w:r w:rsidRPr="00042FA0">
              <w:rPr>
                <w:sz w:val="22"/>
                <w:szCs w:val="22"/>
                <w:lang w:eastAsia="en-US"/>
              </w:rPr>
              <w:t xml:space="preserve">При принятии решения о включении в состав модельного портфеля фонда конкретного долгового финансового инструмента и веса такого инструмента в модельном портфеле фонда управляющая компания руководствуется </w:t>
            </w:r>
            <w:r w:rsidRPr="00042FA0">
              <w:rPr>
                <w:color w:val="000000" w:themeColor="text1"/>
                <w:sz w:val="22"/>
                <w:szCs w:val="22"/>
                <w:lang w:eastAsia="en-US"/>
              </w:rPr>
              <w:t xml:space="preserve">принципом «наилучшее соотношение риска и ожидаемой доходности отдельного актива </w:t>
            </w:r>
            <w:r w:rsidRPr="00042FA0">
              <w:rPr>
                <w:sz w:val="22"/>
                <w:szCs w:val="22"/>
                <w:lang w:eastAsia="en-US"/>
              </w:rPr>
              <w:t xml:space="preserve">и (или) инвестиционного портфеля фонда в совокупности» </w:t>
            </w:r>
            <w:r w:rsidRPr="00042FA0">
              <w:rPr>
                <w:color w:val="000000" w:themeColor="text1"/>
                <w:sz w:val="22"/>
                <w:szCs w:val="22"/>
                <w:lang w:eastAsia="en-US"/>
              </w:rPr>
              <w:t>с учетом иных положений настоящих Правил, требован</w:t>
            </w:r>
            <w:r w:rsidR="00E15D11" w:rsidRPr="00042FA0">
              <w:rPr>
                <w:color w:val="000000" w:themeColor="text1"/>
                <w:sz w:val="22"/>
                <w:szCs w:val="22"/>
                <w:lang w:eastAsia="en-US"/>
              </w:rPr>
              <w:t>ий законодательства Российской Ф</w:t>
            </w:r>
            <w:r w:rsidRPr="00042FA0">
              <w:rPr>
                <w:color w:val="000000" w:themeColor="text1"/>
                <w:sz w:val="22"/>
                <w:szCs w:val="22"/>
                <w:lang w:eastAsia="en-US"/>
              </w:rPr>
              <w:t>едерации к составу и структуре активов фонда. При этом ожидаемая доходность облигаций оценивается с учетом ожидаемой купонной доходности и доходности к погашению, а также прогнозируемой рыночной переоценки выпуска облигаций.</w:t>
            </w:r>
            <w:r w:rsidRPr="00042FA0">
              <w:rPr>
                <w:sz w:val="18"/>
                <w:szCs w:val="18"/>
                <w:lang w:eastAsia="en-US"/>
              </w:rPr>
              <w:t xml:space="preserve"> </w:t>
            </w:r>
            <w:r w:rsidRPr="00042FA0">
              <w:rPr>
                <w:color w:val="000000" w:themeColor="text1"/>
                <w:sz w:val="22"/>
                <w:szCs w:val="22"/>
                <w:lang w:eastAsia="en-US"/>
              </w:rPr>
              <w:lastRenderedPageBreak/>
              <w:t>Комплексная оценка ожидаемой доходности и уровня риска отдельных долговых инструментов осуществляется на основе</w:t>
            </w:r>
            <w:r w:rsidRPr="00042FA0">
              <w:rPr>
                <w:color w:val="000000"/>
                <w:sz w:val="22"/>
                <w:szCs w:val="22"/>
                <w:shd w:val="clear" w:color="auto" w:fill="FFFFFF"/>
                <w:lang w:eastAsia="en-US"/>
              </w:rPr>
              <w:t xml:space="preserve"> анализа таких параметров, как</w:t>
            </w:r>
            <w:r w:rsidR="00D545E4">
              <w:rPr>
                <w:color w:val="000000"/>
                <w:sz w:val="22"/>
                <w:szCs w:val="22"/>
                <w:shd w:val="clear" w:color="auto" w:fill="FFFFFF"/>
                <w:lang w:eastAsia="en-US"/>
              </w:rPr>
              <w:t xml:space="preserve"> результаты макроэкономического</w:t>
            </w:r>
            <w:r w:rsidR="006D025D">
              <w:rPr>
                <w:color w:val="000000"/>
                <w:sz w:val="22"/>
                <w:szCs w:val="22"/>
                <w:shd w:val="clear" w:color="auto" w:fill="FFFFFF"/>
                <w:lang w:eastAsia="en-US"/>
              </w:rPr>
              <w:t xml:space="preserve"> </w:t>
            </w:r>
            <w:proofErr w:type="gramStart"/>
            <w:r w:rsidR="006D025D">
              <w:rPr>
                <w:color w:val="000000"/>
                <w:sz w:val="22"/>
                <w:szCs w:val="22"/>
                <w:shd w:val="clear" w:color="auto" w:fill="FFFFFF"/>
                <w:lang w:eastAsia="en-US"/>
              </w:rPr>
              <w:t xml:space="preserve">анализа, </w:t>
            </w:r>
            <w:r w:rsidRPr="00042FA0">
              <w:rPr>
                <w:color w:val="000000"/>
                <w:sz w:val="22"/>
                <w:szCs w:val="22"/>
                <w:shd w:val="clear" w:color="auto" w:fill="FFFFFF"/>
                <w:lang w:eastAsia="en-US"/>
              </w:rPr>
              <w:t xml:space="preserve"> результаты</w:t>
            </w:r>
            <w:proofErr w:type="gramEnd"/>
            <w:r w:rsidRPr="00042FA0">
              <w:rPr>
                <w:color w:val="000000"/>
                <w:sz w:val="22"/>
                <w:szCs w:val="22"/>
                <w:shd w:val="clear" w:color="auto" w:fill="FFFFFF"/>
                <w:lang w:eastAsia="en-US"/>
              </w:rPr>
              <w:t xml:space="preserve"> кредитного анализа эмитентов (выпусков) облигаций, прогнозируемая динамика процентных ставок и кредитных спредов и т.п</w:t>
            </w:r>
            <w:r w:rsidRPr="00042FA0">
              <w:rPr>
                <w:sz w:val="22"/>
                <w:szCs w:val="22"/>
                <w:lang w:eastAsia="en-US"/>
              </w:rPr>
              <w:t xml:space="preserve">. </w:t>
            </w:r>
          </w:p>
          <w:p w14:paraId="6F424440" w14:textId="77777777" w:rsidR="005868F1" w:rsidRPr="00042FA0" w:rsidRDefault="005868F1" w:rsidP="005868F1">
            <w:pPr>
              <w:autoSpaceDE/>
              <w:autoSpaceDN/>
              <w:ind w:firstLine="360"/>
              <w:jc w:val="both"/>
              <w:rPr>
                <w:color w:val="000000" w:themeColor="text1"/>
                <w:sz w:val="22"/>
                <w:szCs w:val="22"/>
                <w:lang w:eastAsia="en-US"/>
              </w:rPr>
            </w:pPr>
            <w:r w:rsidRPr="00042FA0">
              <w:rPr>
                <w:color w:val="000000"/>
                <w:sz w:val="22"/>
                <w:szCs w:val="22"/>
                <w:shd w:val="clear" w:color="auto" w:fill="FFFFFF"/>
                <w:lang w:eastAsia="en-US"/>
              </w:rPr>
              <w:t>Формирование</w:t>
            </w:r>
            <w:r w:rsidRPr="00042FA0">
              <w:rPr>
                <w:color w:val="000000" w:themeColor="text1"/>
                <w:sz w:val="22"/>
                <w:szCs w:val="22"/>
                <w:lang w:eastAsia="en-US"/>
              </w:rPr>
              <w:t xml:space="preserve"> и пересмотр инвестиционного портфеля фонда осуществляется на основе модельного портфеля фонда с учетом текущей рыночной конъюнктуры.</w:t>
            </w:r>
          </w:p>
          <w:p w14:paraId="5C4131FA" w14:textId="77777777" w:rsidR="005868F1" w:rsidRPr="00042FA0" w:rsidRDefault="005868F1" w:rsidP="005868F1">
            <w:pPr>
              <w:autoSpaceDE/>
              <w:autoSpaceDN/>
              <w:ind w:firstLine="360"/>
              <w:jc w:val="both"/>
              <w:rPr>
                <w:color w:val="000000" w:themeColor="text1"/>
                <w:sz w:val="22"/>
                <w:szCs w:val="22"/>
                <w:lang w:eastAsia="en-US"/>
              </w:rPr>
            </w:pPr>
            <w:r w:rsidRPr="00042FA0">
              <w:rPr>
                <w:color w:val="000000" w:themeColor="text1"/>
                <w:sz w:val="22"/>
                <w:szCs w:val="22"/>
                <w:lang w:eastAsia="en-US"/>
              </w:rPr>
              <w:t xml:space="preserve">Управляющая компания руководствуется описанным в пункте 21 настоящих Правил </w:t>
            </w:r>
            <w:r w:rsidRPr="00042FA0">
              <w:rPr>
                <w:sz w:val="22"/>
                <w:szCs w:val="22"/>
                <w:lang w:eastAsia="en-US"/>
              </w:rPr>
              <w:t xml:space="preserve">способом реализации инвестиционной </w:t>
            </w:r>
            <w:r w:rsidRPr="00042FA0">
              <w:rPr>
                <w:color w:val="000000" w:themeColor="text1"/>
                <w:sz w:val="22"/>
                <w:szCs w:val="22"/>
                <w:lang w:eastAsia="en-US"/>
              </w:rPr>
              <w:t>стратегии за исключением периодов непрогнозируемого развития рыночной конъюнктуры или возникновения 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1B738AF2" w14:textId="281D5776" w:rsidR="00B53E75" w:rsidRPr="00042FA0" w:rsidRDefault="00F04E9A" w:rsidP="00B53E75">
            <w:pPr>
              <w:autoSpaceDE/>
              <w:autoSpaceDN/>
              <w:spacing w:before="60" w:after="60"/>
              <w:ind w:firstLine="720"/>
              <w:jc w:val="both"/>
              <w:rPr>
                <w:sz w:val="22"/>
                <w:szCs w:val="22"/>
                <w:lang w:eastAsia="en-US"/>
              </w:rPr>
            </w:pPr>
            <w:r w:rsidRPr="00042FA0">
              <w:rPr>
                <w:sz w:val="22"/>
                <w:szCs w:val="22"/>
                <w:lang w:eastAsia="en-US"/>
              </w:rPr>
              <w:t>21.2</w:t>
            </w:r>
            <w:r w:rsidR="005479FA" w:rsidRPr="00042FA0">
              <w:rPr>
                <w:sz w:val="22"/>
                <w:szCs w:val="22"/>
                <w:lang w:eastAsia="en-US"/>
              </w:rPr>
              <w:t>.</w:t>
            </w:r>
            <w:r w:rsidRPr="00042FA0">
              <w:rPr>
                <w:sz w:val="22"/>
                <w:szCs w:val="22"/>
                <w:lang w:eastAsia="en-US"/>
              </w:rPr>
              <w:t xml:space="preserve"> </w:t>
            </w:r>
            <w:proofErr w:type="spellStart"/>
            <w:r w:rsidRPr="00042FA0">
              <w:rPr>
                <w:sz w:val="22"/>
                <w:szCs w:val="22"/>
                <w:lang w:eastAsia="en-US"/>
              </w:rPr>
              <w:t>Бенчмарк</w:t>
            </w:r>
            <w:proofErr w:type="spellEnd"/>
          </w:p>
          <w:p w14:paraId="02C27185" w14:textId="53196308" w:rsidR="002C42FF" w:rsidRPr="00042FA0" w:rsidRDefault="002C42FF" w:rsidP="002C42FF">
            <w:pPr>
              <w:autoSpaceDE/>
              <w:autoSpaceDN/>
              <w:jc w:val="both"/>
              <w:textAlignment w:val="baseline"/>
              <w:outlineLvl w:val="0"/>
              <w:rPr>
                <w:sz w:val="22"/>
                <w:szCs w:val="22"/>
              </w:rPr>
            </w:pPr>
            <w:r w:rsidRPr="00042FA0">
              <w:rPr>
                <w:sz w:val="22"/>
                <w:szCs w:val="22"/>
              </w:rPr>
              <w:t xml:space="preserve">         Индекс, по отношению к которому управляющая компания оценивает результативность реализации инвестиционной стратегии фонда, отсутствует, так как не существует ни публичного индекса, рассчитываемого внешним лицом, ни методики расчета индекса для оценки результатов инвестирования в преимущественные объекты инвестирования в соответствии с п.21 настоящих Правил.</w:t>
            </w:r>
          </w:p>
          <w:p w14:paraId="04E3EB7F" w14:textId="77777777" w:rsidR="00F04E9A" w:rsidRPr="000D218A" w:rsidRDefault="00F04E9A" w:rsidP="00B53E75">
            <w:pPr>
              <w:autoSpaceDE/>
              <w:autoSpaceDN/>
              <w:spacing w:before="60" w:after="60"/>
              <w:ind w:firstLine="720"/>
              <w:jc w:val="both"/>
              <w:rPr>
                <w:b/>
                <w:sz w:val="22"/>
                <w:szCs w:val="22"/>
                <w:lang w:eastAsia="en-US"/>
              </w:rPr>
            </w:pPr>
          </w:p>
          <w:p w14:paraId="6C5F1DDA" w14:textId="77777777" w:rsidR="00027326" w:rsidRPr="000D218A" w:rsidRDefault="00027326" w:rsidP="00AB1BB7">
            <w:pPr>
              <w:autoSpaceDE/>
              <w:autoSpaceDN/>
              <w:ind w:firstLine="360"/>
              <w:jc w:val="both"/>
              <w:rPr>
                <w:b/>
                <w:sz w:val="22"/>
                <w:szCs w:val="22"/>
              </w:rPr>
            </w:pPr>
          </w:p>
        </w:tc>
      </w:tr>
      <w:tr w:rsidR="00C77C34" w:rsidRPr="001A1A25" w14:paraId="2EA2C33A" w14:textId="77777777" w:rsidTr="00027326">
        <w:trPr>
          <w:trHeight w:val="537"/>
        </w:trPr>
        <w:tc>
          <w:tcPr>
            <w:tcW w:w="568" w:type="dxa"/>
            <w:shd w:val="clear" w:color="auto" w:fill="auto"/>
          </w:tcPr>
          <w:p w14:paraId="789BC311" w14:textId="4C8C7C95" w:rsidR="00C77C34" w:rsidRPr="00C77C34" w:rsidRDefault="00C77C34"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3</w:t>
            </w:r>
          </w:p>
        </w:tc>
        <w:tc>
          <w:tcPr>
            <w:tcW w:w="1076" w:type="dxa"/>
            <w:shd w:val="clear" w:color="auto" w:fill="auto"/>
          </w:tcPr>
          <w:p w14:paraId="0A9762DB" w14:textId="20F4D3BB" w:rsidR="00C77C34" w:rsidRPr="00C77C34" w:rsidRDefault="00C77C34" w:rsidP="00576992">
            <w:pPr>
              <w:autoSpaceDE/>
              <w:autoSpaceDN/>
              <w:jc w:val="center"/>
            </w:pPr>
            <w:r>
              <w:t>22.1.5.</w:t>
            </w:r>
          </w:p>
        </w:tc>
        <w:tc>
          <w:tcPr>
            <w:tcW w:w="4170" w:type="dxa"/>
            <w:shd w:val="clear" w:color="auto" w:fill="auto"/>
            <w:vAlign w:val="center"/>
          </w:tcPr>
          <w:p w14:paraId="6CB832D0" w14:textId="6FA2AFE1" w:rsidR="00C77C34" w:rsidRPr="00402133" w:rsidRDefault="00C77C34" w:rsidP="00851359">
            <w:pPr>
              <w:autoSpaceDE/>
              <w:autoSpaceDN/>
              <w:ind w:firstLine="567"/>
              <w:jc w:val="both"/>
              <w:rPr>
                <w:color w:val="000000" w:themeColor="text1"/>
                <w:sz w:val="22"/>
                <w:szCs w:val="22"/>
              </w:rPr>
            </w:pPr>
            <w:r w:rsidRPr="00C77C34">
              <w:rPr>
                <w:sz w:val="22"/>
                <w:szCs w:val="22"/>
              </w:rPr>
              <w:t>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tc>
        <w:tc>
          <w:tcPr>
            <w:tcW w:w="4253" w:type="dxa"/>
            <w:shd w:val="clear" w:color="auto" w:fill="auto"/>
            <w:vAlign w:val="center"/>
          </w:tcPr>
          <w:p w14:paraId="71824BCC" w14:textId="7747EAF1" w:rsidR="00C77C34" w:rsidRPr="00BD39AF" w:rsidRDefault="00C77C34" w:rsidP="00C77C34">
            <w:pPr>
              <w:autoSpaceDE/>
              <w:autoSpaceDN/>
              <w:jc w:val="both"/>
              <w:rPr>
                <w:color w:val="000000" w:themeColor="text1"/>
                <w:sz w:val="22"/>
                <w:szCs w:val="22"/>
              </w:rPr>
            </w:pPr>
            <w:r w:rsidRPr="00C77C34">
              <w:rPr>
                <w:sz w:val="22"/>
                <w:szCs w:val="22"/>
              </w:rPr>
              <w:t xml:space="preserve">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tc>
      </w:tr>
      <w:tr w:rsidR="00C77C34" w:rsidRPr="001A1A25" w14:paraId="0533A64B" w14:textId="77777777" w:rsidTr="00027326">
        <w:trPr>
          <w:trHeight w:val="537"/>
        </w:trPr>
        <w:tc>
          <w:tcPr>
            <w:tcW w:w="568" w:type="dxa"/>
            <w:shd w:val="clear" w:color="auto" w:fill="auto"/>
          </w:tcPr>
          <w:p w14:paraId="680E3CDE" w14:textId="340EE1DB" w:rsidR="00C77C34" w:rsidRDefault="00C77C34"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4</w:t>
            </w:r>
          </w:p>
        </w:tc>
        <w:tc>
          <w:tcPr>
            <w:tcW w:w="1076" w:type="dxa"/>
            <w:shd w:val="clear" w:color="auto" w:fill="auto"/>
          </w:tcPr>
          <w:p w14:paraId="0542017F" w14:textId="5BEBA1CE" w:rsidR="00C77C34" w:rsidRDefault="00C77C34" w:rsidP="00576992">
            <w:pPr>
              <w:autoSpaceDE/>
              <w:autoSpaceDN/>
              <w:jc w:val="center"/>
            </w:pPr>
            <w:r>
              <w:t>22.1.6.</w:t>
            </w:r>
          </w:p>
        </w:tc>
        <w:tc>
          <w:tcPr>
            <w:tcW w:w="4170" w:type="dxa"/>
            <w:shd w:val="clear" w:color="auto" w:fill="auto"/>
            <w:vAlign w:val="center"/>
          </w:tcPr>
          <w:p w14:paraId="22868E15" w14:textId="77777777" w:rsidR="00C77C34" w:rsidRPr="00C77C34" w:rsidRDefault="00C77C34" w:rsidP="00C77C34">
            <w:pPr>
              <w:ind w:firstLine="567"/>
              <w:jc w:val="both"/>
              <w:rPr>
                <w:sz w:val="22"/>
                <w:szCs w:val="22"/>
              </w:rPr>
            </w:pPr>
            <w:r w:rsidRPr="00C77C34">
              <w:rPr>
                <w:sz w:val="22"/>
                <w:szCs w:val="22"/>
              </w:rPr>
              <w:t>полностью оплаченные обыкновенные и привилегированные акции иностранных акционерных обществ;</w:t>
            </w:r>
          </w:p>
          <w:p w14:paraId="50400761" w14:textId="77777777" w:rsidR="00C77C34" w:rsidRPr="00C77C34" w:rsidRDefault="00C77C34" w:rsidP="00C77C34">
            <w:pPr>
              <w:autoSpaceDE/>
              <w:autoSpaceDN/>
              <w:ind w:firstLine="567"/>
              <w:jc w:val="both"/>
              <w:rPr>
                <w:sz w:val="22"/>
                <w:szCs w:val="22"/>
              </w:rPr>
            </w:pPr>
          </w:p>
        </w:tc>
        <w:tc>
          <w:tcPr>
            <w:tcW w:w="4253" w:type="dxa"/>
            <w:shd w:val="clear" w:color="auto" w:fill="auto"/>
            <w:vAlign w:val="center"/>
          </w:tcPr>
          <w:p w14:paraId="7605329F" w14:textId="56FC5A9A" w:rsidR="00C77C34" w:rsidRPr="00C77C34" w:rsidRDefault="00C77C34" w:rsidP="00C77C34">
            <w:pPr>
              <w:jc w:val="both"/>
              <w:rPr>
                <w:sz w:val="22"/>
                <w:szCs w:val="22"/>
              </w:rPr>
            </w:pPr>
            <w:r w:rsidRPr="00C77C34">
              <w:rPr>
                <w:sz w:val="22"/>
                <w:szCs w:val="22"/>
              </w:rPr>
              <w:t xml:space="preserve"> обыкновенные и привилегированные акции иностранных акционерных обществ;</w:t>
            </w:r>
          </w:p>
          <w:p w14:paraId="4367EE74" w14:textId="77777777" w:rsidR="00C77C34" w:rsidRPr="00C77C34" w:rsidRDefault="00C77C34" w:rsidP="00C77C34">
            <w:pPr>
              <w:autoSpaceDE/>
              <w:autoSpaceDN/>
              <w:jc w:val="both"/>
              <w:rPr>
                <w:sz w:val="22"/>
                <w:szCs w:val="22"/>
              </w:rPr>
            </w:pPr>
          </w:p>
        </w:tc>
      </w:tr>
      <w:tr w:rsidR="00F65418" w:rsidRPr="00ED14F1" w14:paraId="452F546D" w14:textId="77777777" w:rsidTr="00027326">
        <w:trPr>
          <w:trHeight w:val="537"/>
        </w:trPr>
        <w:tc>
          <w:tcPr>
            <w:tcW w:w="568" w:type="dxa"/>
            <w:shd w:val="clear" w:color="auto" w:fill="auto"/>
          </w:tcPr>
          <w:p w14:paraId="07B58D5A" w14:textId="2D339C13" w:rsidR="00F65418" w:rsidRPr="00900869" w:rsidRDefault="00B25FCF" w:rsidP="00576992">
            <w:pPr>
              <w:pStyle w:val="prg3"/>
              <w:numPr>
                <w:ilvl w:val="0"/>
                <w:numId w:val="0"/>
              </w:numPr>
              <w:spacing w:line="280" w:lineRule="exact"/>
              <w:jc w:val="center"/>
              <w:rPr>
                <w:rFonts w:ascii="Times New Roman" w:hAnsi="Times New Roman" w:cs="Times New Roman"/>
                <w:kern w:val="0"/>
                <w:lang w:val="en-US"/>
              </w:rPr>
            </w:pPr>
            <w:r>
              <w:rPr>
                <w:rFonts w:ascii="Times New Roman" w:hAnsi="Times New Roman" w:cs="Times New Roman"/>
                <w:kern w:val="0"/>
                <w:lang w:val="en-US"/>
              </w:rPr>
              <w:t>5</w:t>
            </w:r>
          </w:p>
        </w:tc>
        <w:tc>
          <w:tcPr>
            <w:tcW w:w="1076" w:type="dxa"/>
            <w:shd w:val="clear" w:color="auto" w:fill="auto"/>
          </w:tcPr>
          <w:p w14:paraId="5AFC7323" w14:textId="111CCEDF" w:rsidR="00F65418" w:rsidRPr="00C86E3C" w:rsidRDefault="00F65418" w:rsidP="00576992">
            <w:pPr>
              <w:autoSpaceDE/>
              <w:autoSpaceDN/>
              <w:jc w:val="center"/>
            </w:pPr>
            <w:r>
              <w:rPr>
                <w:lang w:val="en-US"/>
              </w:rPr>
              <w:t>22.1.11</w:t>
            </w:r>
            <w:r w:rsidR="00C86E3C">
              <w:t>.</w:t>
            </w:r>
          </w:p>
        </w:tc>
        <w:tc>
          <w:tcPr>
            <w:tcW w:w="4170" w:type="dxa"/>
            <w:shd w:val="clear" w:color="auto" w:fill="auto"/>
            <w:vAlign w:val="center"/>
          </w:tcPr>
          <w:p w14:paraId="21D9DD75" w14:textId="77777777" w:rsidR="00F65418" w:rsidRPr="001A3794" w:rsidRDefault="00F65418" w:rsidP="001A3794">
            <w:pPr>
              <w:autoSpaceDE/>
              <w:autoSpaceDN/>
              <w:ind w:firstLine="567"/>
              <w:jc w:val="both"/>
              <w:rPr>
                <w:sz w:val="22"/>
                <w:szCs w:val="22"/>
              </w:rPr>
            </w:pPr>
          </w:p>
        </w:tc>
        <w:tc>
          <w:tcPr>
            <w:tcW w:w="4253" w:type="dxa"/>
            <w:shd w:val="clear" w:color="auto" w:fill="auto"/>
            <w:vAlign w:val="center"/>
          </w:tcPr>
          <w:p w14:paraId="0DC50F0E" w14:textId="77777777" w:rsidR="00B83D09" w:rsidRPr="00042FA0" w:rsidRDefault="00B83D09" w:rsidP="00B83D09">
            <w:pPr>
              <w:autoSpaceDE/>
              <w:autoSpaceDN/>
              <w:ind w:firstLine="567"/>
              <w:jc w:val="both"/>
              <w:rPr>
                <w:sz w:val="22"/>
                <w:szCs w:val="22"/>
              </w:rPr>
            </w:pPr>
            <w:r w:rsidRPr="00042FA0">
              <w:rPr>
                <w:sz w:val="22"/>
                <w:szCs w:val="22"/>
              </w:rPr>
              <w:t>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а также облигации, определенные в Указании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 (далее при совместном упоминании – ценные бумаги, предназначенные для квалифицированных инвесторов).</w:t>
            </w:r>
          </w:p>
          <w:p w14:paraId="5BDF56CA" w14:textId="0DDF9064" w:rsidR="00B83D09" w:rsidRPr="00042FA0" w:rsidRDefault="00B83D09" w:rsidP="00B83D09">
            <w:pPr>
              <w:autoSpaceDE/>
              <w:autoSpaceDN/>
              <w:spacing w:after="120"/>
              <w:jc w:val="both"/>
              <w:textAlignment w:val="baseline"/>
              <w:outlineLvl w:val="0"/>
              <w:rPr>
                <w:sz w:val="22"/>
                <w:szCs w:val="22"/>
              </w:rPr>
            </w:pPr>
            <w:r w:rsidRPr="00042FA0">
              <w:rPr>
                <w:sz w:val="22"/>
                <w:szCs w:val="22"/>
              </w:rPr>
              <w:t>Лицами, обязанными по ценным бумагам, предназначенным для квалифицированных инвесторов, являются:</w:t>
            </w:r>
          </w:p>
          <w:p w14:paraId="221160E5" w14:textId="77777777" w:rsidR="00B83D09" w:rsidRPr="00042FA0" w:rsidRDefault="00B83D09" w:rsidP="00B83D09">
            <w:pPr>
              <w:autoSpaceDE/>
              <w:autoSpaceDN/>
              <w:adjustRightInd w:val="0"/>
              <w:ind w:firstLine="567"/>
              <w:jc w:val="both"/>
              <w:rPr>
                <w:sz w:val="22"/>
                <w:szCs w:val="22"/>
              </w:rPr>
            </w:pPr>
            <w:r w:rsidRPr="00042FA0">
              <w:rPr>
                <w:sz w:val="22"/>
                <w:szCs w:val="22"/>
              </w:rPr>
              <w:t xml:space="preserve">22.1.11.1. </w:t>
            </w:r>
            <w:r w:rsidRPr="00042FA0">
              <w:rPr>
                <w:sz w:val="22"/>
                <w:szCs w:val="22"/>
                <w:lang w:eastAsia="en-US"/>
              </w:rPr>
              <w:t>Компания</w:t>
            </w:r>
            <w:r w:rsidRPr="00042FA0">
              <w:rPr>
                <w:sz w:val="22"/>
                <w:szCs w:val="22"/>
              </w:rPr>
              <w:t xml:space="preserve"> </w:t>
            </w:r>
            <w:proofErr w:type="spellStart"/>
            <w:r w:rsidRPr="00042FA0">
              <w:rPr>
                <w:sz w:val="22"/>
                <w:szCs w:val="22"/>
              </w:rPr>
              <w:t>Alfa</w:t>
            </w:r>
            <w:proofErr w:type="spellEnd"/>
            <w:r w:rsidRPr="00042FA0">
              <w:rPr>
                <w:sz w:val="22"/>
                <w:szCs w:val="22"/>
              </w:rPr>
              <w:t xml:space="preserve"> </w:t>
            </w:r>
            <w:proofErr w:type="spellStart"/>
            <w:r w:rsidRPr="00042FA0">
              <w:rPr>
                <w:sz w:val="22"/>
                <w:szCs w:val="22"/>
              </w:rPr>
              <w:t>Bond</w:t>
            </w:r>
            <w:proofErr w:type="spellEnd"/>
            <w:r w:rsidRPr="00042FA0">
              <w:rPr>
                <w:sz w:val="22"/>
                <w:szCs w:val="22"/>
              </w:rPr>
              <w:t xml:space="preserve"> </w:t>
            </w:r>
            <w:proofErr w:type="spellStart"/>
            <w:r w:rsidRPr="00042FA0">
              <w:rPr>
                <w:sz w:val="22"/>
                <w:szCs w:val="22"/>
              </w:rPr>
              <w:t>Issuance</w:t>
            </w:r>
            <w:proofErr w:type="spellEnd"/>
            <w:r w:rsidRPr="00042FA0">
              <w:rPr>
                <w:sz w:val="22"/>
                <w:szCs w:val="22"/>
              </w:rPr>
              <w:t xml:space="preserve"> </w:t>
            </w:r>
            <w:r w:rsidRPr="00042FA0">
              <w:rPr>
                <w:sz w:val="22"/>
                <w:szCs w:val="22"/>
                <w:lang w:val="en-US"/>
              </w:rPr>
              <w:t>p</w:t>
            </w:r>
            <w:proofErr w:type="spellStart"/>
            <w:r w:rsidRPr="00042FA0">
              <w:rPr>
                <w:sz w:val="22"/>
                <w:szCs w:val="22"/>
              </w:rPr>
              <w:t>lc</w:t>
            </w:r>
            <w:proofErr w:type="spellEnd"/>
            <w:r w:rsidRPr="00042FA0">
              <w:rPr>
                <w:sz w:val="22"/>
                <w:szCs w:val="22"/>
              </w:rPr>
              <w:t>, зарегистрированная в Ирландии, регистрационный номер страны регистрации 410510;</w:t>
            </w:r>
          </w:p>
          <w:p w14:paraId="0FBEFF0C" w14:textId="77777777" w:rsidR="00B83D09" w:rsidRPr="00042FA0" w:rsidRDefault="00B83D09" w:rsidP="00B83D09">
            <w:pPr>
              <w:autoSpaceDE/>
              <w:autoSpaceDN/>
              <w:adjustRightInd w:val="0"/>
              <w:ind w:firstLine="567"/>
              <w:jc w:val="both"/>
              <w:rPr>
                <w:sz w:val="22"/>
                <w:szCs w:val="22"/>
              </w:rPr>
            </w:pPr>
            <w:r w:rsidRPr="00042FA0">
              <w:rPr>
                <w:sz w:val="22"/>
                <w:szCs w:val="22"/>
              </w:rPr>
              <w:t>22.1.11.2. Компания VTB E</w:t>
            </w:r>
            <w:proofErr w:type="spellStart"/>
            <w:r w:rsidRPr="00042FA0">
              <w:rPr>
                <w:sz w:val="22"/>
                <w:szCs w:val="22"/>
                <w:lang w:val="en-US"/>
              </w:rPr>
              <w:t>urasia</w:t>
            </w:r>
            <w:proofErr w:type="spellEnd"/>
            <w:r w:rsidRPr="00042FA0">
              <w:rPr>
                <w:sz w:val="22"/>
                <w:szCs w:val="22"/>
              </w:rPr>
              <w:t xml:space="preserve"> D</w:t>
            </w:r>
            <w:proofErr w:type="spellStart"/>
            <w:r w:rsidRPr="00042FA0">
              <w:rPr>
                <w:sz w:val="22"/>
                <w:szCs w:val="22"/>
                <w:lang w:val="en-US"/>
              </w:rPr>
              <w:t>esignated</w:t>
            </w:r>
            <w:proofErr w:type="spellEnd"/>
            <w:r w:rsidRPr="00042FA0">
              <w:rPr>
                <w:sz w:val="22"/>
                <w:szCs w:val="22"/>
              </w:rPr>
              <w:t xml:space="preserve"> A</w:t>
            </w:r>
            <w:proofErr w:type="spellStart"/>
            <w:r w:rsidRPr="00042FA0">
              <w:rPr>
                <w:sz w:val="22"/>
                <w:szCs w:val="22"/>
                <w:lang w:val="en-US"/>
              </w:rPr>
              <w:t>ctivity</w:t>
            </w:r>
            <w:proofErr w:type="spellEnd"/>
            <w:r w:rsidRPr="00042FA0">
              <w:rPr>
                <w:sz w:val="22"/>
                <w:szCs w:val="22"/>
              </w:rPr>
              <w:t xml:space="preserve"> C</w:t>
            </w:r>
            <w:proofErr w:type="spellStart"/>
            <w:r w:rsidRPr="00042FA0">
              <w:rPr>
                <w:sz w:val="22"/>
                <w:szCs w:val="22"/>
                <w:lang w:val="en-US"/>
              </w:rPr>
              <w:t>ompany</w:t>
            </w:r>
            <w:proofErr w:type="spellEnd"/>
            <w:r w:rsidRPr="00042FA0">
              <w:rPr>
                <w:sz w:val="22"/>
                <w:szCs w:val="22"/>
              </w:rPr>
              <w:t xml:space="preserve"> (VTB </w:t>
            </w:r>
            <w:proofErr w:type="spellStart"/>
            <w:r w:rsidRPr="00042FA0">
              <w:rPr>
                <w:sz w:val="22"/>
                <w:szCs w:val="22"/>
              </w:rPr>
              <w:t>Eurasia</w:t>
            </w:r>
            <w:proofErr w:type="spellEnd"/>
            <w:r w:rsidRPr="00042FA0">
              <w:rPr>
                <w:sz w:val="22"/>
                <w:szCs w:val="22"/>
              </w:rPr>
              <w:t xml:space="preserve"> DAC), зарегистрированная в Ирландии, регистрационный номер страны регистрации 511693;</w:t>
            </w:r>
          </w:p>
          <w:p w14:paraId="2D4B1846" w14:textId="77777777" w:rsidR="00B83D09" w:rsidRPr="00042FA0" w:rsidRDefault="00B83D09" w:rsidP="00B83D09">
            <w:pPr>
              <w:autoSpaceDE/>
              <w:autoSpaceDN/>
              <w:adjustRightInd w:val="0"/>
              <w:ind w:firstLine="567"/>
              <w:jc w:val="both"/>
              <w:rPr>
                <w:sz w:val="22"/>
                <w:szCs w:val="22"/>
              </w:rPr>
            </w:pPr>
            <w:r w:rsidRPr="00042FA0">
              <w:rPr>
                <w:sz w:val="22"/>
                <w:szCs w:val="22"/>
              </w:rPr>
              <w:t xml:space="preserve">22.1.11.3. Компания CBOM </w:t>
            </w:r>
            <w:proofErr w:type="spellStart"/>
            <w:r w:rsidRPr="00042FA0">
              <w:rPr>
                <w:sz w:val="22"/>
                <w:szCs w:val="22"/>
              </w:rPr>
              <w:t>Finance</w:t>
            </w:r>
            <w:proofErr w:type="spellEnd"/>
            <w:r w:rsidRPr="00042FA0">
              <w:rPr>
                <w:sz w:val="22"/>
                <w:szCs w:val="22"/>
              </w:rPr>
              <w:t xml:space="preserve"> </w:t>
            </w:r>
            <w:proofErr w:type="spellStart"/>
            <w:r w:rsidRPr="00042FA0">
              <w:rPr>
                <w:sz w:val="22"/>
                <w:szCs w:val="22"/>
              </w:rPr>
              <w:t>plc</w:t>
            </w:r>
            <w:proofErr w:type="spellEnd"/>
            <w:r w:rsidRPr="00042FA0">
              <w:rPr>
                <w:sz w:val="22"/>
                <w:szCs w:val="22"/>
              </w:rPr>
              <w:t>, зарегистрированная в Ирландии, регистрационный номер страны регистрации 425241;</w:t>
            </w:r>
          </w:p>
          <w:p w14:paraId="34EEEFA6" w14:textId="67998882" w:rsidR="00B83D09" w:rsidRPr="00042FA0" w:rsidRDefault="00B83D09" w:rsidP="00B83D09">
            <w:pPr>
              <w:autoSpaceDE/>
              <w:autoSpaceDN/>
              <w:adjustRightInd w:val="0"/>
              <w:ind w:firstLine="567"/>
              <w:jc w:val="both"/>
              <w:rPr>
                <w:sz w:val="22"/>
                <w:szCs w:val="22"/>
              </w:rPr>
            </w:pPr>
            <w:r w:rsidRPr="00042FA0">
              <w:rPr>
                <w:sz w:val="22"/>
                <w:szCs w:val="22"/>
              </w:rPr>
              <w:t xml:space="preserve">22.1.11.4. </w:t>
            </w:r>
            <w:r w:rsidR="00D648DC" w:rsidRPr="00042FA0">
              <w:rPr>
                <w:color w:val="000000"/>
                <w:sz w:val="22"/>
                <w:szCs w:val="22"/>
              </w:rPr>
              <w:t xml:space="preserve">Компания VEB </w:t>
            </w:r>
            <w:proofErr w:type="spellStart"/>
            <w:r w:rsidR="00D648DC" w:rsidRPr="00042FA0">
              <w:rPr>
                <w:color w:val="000000"/>
                <w:sz w:val="22"/>
                <w:szCs w:val="22"/>
              </w:rPr>
              <w:t>Finance</w:t>
            </w:r>
            <w:proofErr w:type="spellEnd"/>
            <w:r w:rsidR="00D648DC" w:rsidRPr="00042FA0">
              <w:rPr>
                <w:color w:val="000000"/>
                <w:sz w:val="22"/>
                <w:szCs w:val="22"/>
              </w:rPr>
              <w:t xml:space="preserve"> </w:t>
            </w:r>
            <w:r w:rsidR="00D648DC" w:rsidRPr="00042FA0">
              <w:rPr>
                <w:color w:val="000000"/>
                <w:sz w:val="22"/>
                <w:szCs w:val="22"/>
                <w:lang w:val="en-US"/>
              </w:rPr>
              <w:t>p</w:t>
            </w:r>
            <w:proofErr w:type="spellStart"/>
            <w:r w:rsidR="00D648DC" w:rsidRPr="00042FA0">
              <w:rPr>
                <w:color w:val="000000"/>
                <w:sz w:val="22"/>
                <w:szCs w:val="22"/>
              </w:rPr>
              <w:t>lc</w:t>
            </w:r>
            <w:proofErr w:type="spellEnd"/>
            <w:r w:rsidR="00D648DC" w:rsidRPr="00042FA0">
              <w:rPr>
                <w:color w:val="000000"/>
                <w:sz w:val="22"/>
                <w:szCs w:val="22"/>
              </w:rPr>
              <w:t xml:space="preserve">, </w:t>
            </w:r>
            <w:r w:rsidR="00D648DC" w:rsidRPr="00042FA0">
              <w:rPr>
                <w:sz w:val="22"/>
                <w:szCs w:val="22"/>
              </w:rPr>
              <w:t xml:space="preserve">зарегистрированная в Ирландии, </w:t>
            </w:r>
            <w:r w:rsidR="00D648DC" w:rsidRPr="00042FA0">
              <w:rPr>
                <w:color w:val="000000"/>
                <w:sz w:val="22"/>
                <w:szCs w:val="22"/>
              </w:rPr>
              <w:t>регистрационный номер страны регистрации 481529</w:t>
            </w:r>
            <w:r w:rsidRPr="00042FA0">
              <w:rPr>
                <w:sz w:val="22"/>
                <w:szCs w:val="22"/>
              </w:rPr>
              <w:t>;</w:t>
            </w:r>
          </w:p>
          <w:p w14:paraId="4D6C9250" w14:textId="77777777" w:rsidR="00B83D09" w:rsidRPr="00042FA0" w:rsidRDefault="00B83D09" w:rsidP="00B83D09">
            <w:pPr>
              <w:autoSpaceDE/>
              <w:autoSpaceDN/>
              <w:adjustRightInd w:val="0"/>
              <w:ind w:firstLine="567"/>
              <w:jc w:val="both"/>
              <w:rPr>
                <w:sz w:val="22"/>
                <w:szCs w:val="22"/>
              </w:rPr>
            </w:pPr>
            <w:r w:rsidRPr="00042FA0">
              <w:rPr>
                <w:sz w:val="22"/>
                <w:szCs w:val="22"/>
              </w:rPr>
              <w:t>22.1.11.5. Банк ВТБ (публичное акционерное общество), ОГРН 1027739609391;</w:t>
            </w:r>
          </w:p>
          <w:p w14:paraId="5935ED30" w14:textId="3FA5CB87" w:rsidR="00B83D09" w:rsidRPr="00042FA0" w:rsidRDefault="00B83D09" w:rsidP="00B83D09">
            <w:pPr>
              <w:autoSpaceDE/>
              <w:autoSpaceDN/>
              <w:adjustRightInd w:val="0"/>
              <w:ind w:firstLine="567"/>
              <w:jc w:val="both"/>
              <w:rPr>
                <w:sz w:val="22"/>
                <w:szCs w:val="22"/>
              </w:rPr>
            </w:pPr>
            <w:r w:rsidRPr="00042FA0">
              <w:rPr>
                <w:sz w:val="22"/>
                <w:szCs w:val="22"/>
                <w:lang w:eastAsia="en-US"/>
              </w:rPr>
              <w:t>22.1.11.6. Общество с</w:t>
            </w:r>
            <w:r w:rsidR="00EF2044" w:rsidRPr="00042FA0">
              <w:rPr>
                <w:sz w:val="22"/>
                <w:szCs w:val="22"/>
                <w:lang w:eastAsia="en-US"/>
              </w:rPr>
              <w:t xml:space="preserve"> ограниченной ответственностью «Газпром капитал»</w:t>
            </w:r>
            <w:r w:rsidRPr="00042FA0">
              <w:rPr>
                <w:sz w:val="22"/>
                <w:szCs w:val="22"/>
                <w:lang w:eastAsia="en-US"/>
              </w:rPr>
              <w:t>, ОГРН 1087746212388;</w:t>
            </w:r>
          </w:p>
          <w:p w14:paraId="04D93A62" w14:textId="6B5F1F0D" w:rsidR="00B83D09" w:rsidRPr="00B25FCF" w:rsidRDefault="00B83D09" w:rsidP="00B83D09">
            <w:pPr>
              <w:autoSpaceDE/>
              <w:autoSpaceDN/>
              <w:ind w:firstLine="567"/>
              <w:jc w:val="both"/>
              <w:rPr>
                <w:color w:val="000000" w:themeColor="text1"/>
                <w:sz w:val="22"/>
                <w:szCs w:val="22"/>
                <w:lang w:eastAsia="en-US"/>
              </w:rPr>
            </w:pPr>
            <w:r w:rsidRPr="00B25FCF">
              <w:rPr>
                <w:color w:val="000000" w:themeColor="text1"/>
                <w:sz w:val="22"/>
                <w:szCs w:val="22"/>
                <w:shd w:val="clear" w:color="auto" w:fill="FFFFFF"/>
                <w:lang w:eastAsia="en-US"/>
              </w:rPr>
              <w:t>22.1.11.7. «</w:t>
            </w:r>
            <w:r w:rsidRPr="00B25FCF">
              <w:rPr>
                <w:rFonts w:ascii="OpenSans" w:hAnsi="OpenSans" w:hint="eastAsia"/>
                <w:color w:val="000000" w:themeColor="text1"/>
                <w:sz w:val="22"/>
                <w:szCs w:val="22"/>
                <w:lang w:eastAsia="en-US"/>
              </w:rPr>
              <w:t>МОСКОВСКИЙ</w:t>
            </w:r>
            <w:r w:rsidRPr="00B25FCF">
              <w:rPr>
                <w:rFonts w:ascii="OpenSans" w:hAnsi="OpenSans"/>
                <w:color w:val="000000" w:themeColor="text1"/>
                <w:sz w:val="22"/>
                <w:szCs w:val="22"/>
                <w:lang w:eastAsia="en-US"/>
              </w:rPr>
              <w:t xml:space="preserve"> </w:t>
            </w:r>
            <w:r w:rsidRPr="00B25FCF">
              <w:rPr>
                <w:rFonts w:ascii="OpenSans" w:hAnsi="OpenSans" w:hint="eastAsia"/>
                <w:color w:val="000000" w:themeColor="text1"/>
                <w:sz w:val="22"/>
                <w:szCs w:val="22"/>
                <w:lang w:eastAsia="en-US"/>
              </w:rPr>
              <w:t>КРЕДИТНЫЙ</w:t>
            </w:r>
            <w:r w:rsidRPr="00B25FCF">
              <w:rPr>
                <w:rFonts w:ascii="OpenSans" w:hAnsi="OpenSans"/>
                <w:color w:val="000000" w:themeColor="text1"/>
                <w:sz w:val="22"/>
                <w:szCs w:val="22"/>
                <w:lang w:eastAsia="en-US"/>
              </w:rPr>
              <w:t xml:space="preserve"> </w:t>
            </w:r>
            <w:r w:rsidRPr="00B25FCF">
              <w:rPr>
                <w:rFonts w:ascii="OpenSans" w:hAnsi="OpenSans" w:hint="eastAsia"/>
                <w:color w:val="000000" w:themeColor="text1"/>
                <w:sz w:val="22"/>
                <w:szCs w:val="22"/>
                <w:lang w:eastAsia="en-US"/>
              </w:rPr>
              <w:t>БАНК»</w:t>
            </w:r>
            <w:r w:rsidRPr="00B25FCF">
              <w:rPr>
                <w:rFonts w:ascii="OpenSans" w:hAnsi="OpenSans"/>
                <w:color w:val="000000" w:themeColor="text1"/>
                <w:sz w:val="22"/>
                <w:szCs w:val="22"/>
                <w:lang w:eastAsia="en-US"/>
              </w:rPr>
              <w:t xml:space="preserve"> (</w:t>
            </w:r>
            <w:r w:rsidRPr="00B25FCF">
              <w:rPr>
                <w:rFonts w:ascii="OpenSans" w:hAnsi="OpenSans" w:hint="eastAsia"/>
                <w:color w:val="000000" w:themeColor="text1"/>
                <w:sz w:val="22"/>
                <w:szCs w:val="22"/>
                <w:lang w:eastAsia="en-US"/>
              </w:rPr>
              <w:t>публичное</w:t>
            </w:r>
            <w:r w:rsidRPr="00B25FCF">
              <w:rPr>
                <w:rFonts w:ascii="OpenSans" w:hAnsi="OpenSans"/>
                <w:color w:val="000000" w:themeColor="text1"/>
                <w:sz w:val="22"/>
                <w:szCs w:val="22"/>
                <w:lang w:eastAsia="en-US"/>
              </w:rPr>
              <w:t xml:space="preserve"> </w:t>
            </w:r>
            <w:r w:rsidRPr="00B25FCF">
              <w:rPr>
                <w:rFonts w:ascii="OpenSans" w:hAnsi="OpenSans" w:hint="eastAsia"/>
                <w:color w:val="000000" w:themeColor="text1"/>
                <w:sz w:val="22"/>
                <w:szCs w:val="22"/>
                <w:lang w:eastAsia="en-US"/>
              </w:rPr>
              <w:t>акционерное</w:t>
            </w:r>
            <w:r w:rsidRPr="00B25FCF">
              <w:rPr>
                <w:rFonts w:ascii="OpenSans" w:hAnsi="OpenSans"/>
                <w:color w:val="000000" w:themeColor="text1"/>
                <w:sz w:val="22"/>
                <w:szCs w:val="22"/>
                <w:lang w:eastAsia="en-US"/>
              </w:rPr>
              <w:t xml:space="preserve"> </w:t>
            </w:r>
            <w:r w:rsidRPr="00B25FCF">
              <w:rPr>
                <w:rFonts w:ascii="OpenSans" w:hAnsi="OpenSans" w:hint="eastAsia"/>
                <w:color w:val="000000" w:themeColor="text1"/>
                <w:sz w:val="22"/>
                <w:szCs w:val="22"/>
                <w:lang w:eastAsia="en-US"/>
              </w:rPr>
              <w:t>общество</w:t>
            </w:r>
            <w:r w:rsidRPr="00B25FCF">
              <w:rPr>
                <w:rFonts w:ascii="OpenSans" w:hAnsi="OpenSans"/>
                <w:color w:val="000000" w:themeColor="text1"/>
                <w:sz w:val="22"/>
                <w:szCs w:val="22"/>
                <w:lang w:eastAsia="en-US"/>
              </w:rPr>
              <w:t xml:space="preserve">), </w:t>
            </w:r>
            <w:r w:rsidRPr="00B25FCF">
              <w:rPr>
                <w:rFonts w:ascii="OpenSans" w:hAnsi="OpenSans" w:hint="eastAsia"/>
                <w:color w:val="000000" w:themeColor="text1"/>
                <w:sz w:val="22"/>
                <w:szCs w:val="22"/>
                <w:lang w:eastAsia="en-US"/>
              </w:rPr>
              <w:t>ОГРН</w:t>
            </w:r>
            <w:r w:rsidRPr="00B25FCF">
              <w:rPr>
                <w:rFonts w:ascii="OpenSans" w:hAnsi="OpenSans"/>
                <w:color w:val="000000" w:themeColor="text1"/>
                <w:sz w:val="22"/>
                <w:szCs w:val="22"/>
                <w:lang w:eastAsia="en-US"/>
              </w:rPr>
              <w:t xml:space="preserve"> </w:t>
            </w:r>
            <w:r w:rsidRPr="00B25FCF">
              <w:rPr>
                <w:color w:val="000000" w:themeColor="text1"/>
                <w:sz w:val="22"/>
                <w:szCs w:val="22"/>
                <w:lang w:eastAsia="en-US"/>
              </w:rPr>
              <w:t>1027739555282;</w:t>
            </w:r>
          </w:p>
          <w:p w14:paraId="2DBB8823" w14:textId="59F5F2A0" w:rsidR="00BE359F" w:rsidRPr="00042FA0" w:rsidRDefault="00556999" w:rsidP="00BE359F">
            <w:pPr>
              <w:autoSpaceDE/>
              <w:autoSpaceDN/>
              <w:adjustRightInd w:val="0"/>
              <w:ind w:firstLine="567"/>
              <w:jc w:val="both"/>
              <w:rPr>
                <w:sz w:val="22"/>
                <w:szCs w:val="22"/>
              </w:rPr>
            </w:pPr>
            <w:r>
              <w:rPr>
                <w:sz w:val="22"/>
                <w:szCs w:val="22"/>
              </w:rPr>
              <w:t>22</w:t>
            </w:r>
            <w:r w:rsidR="00BE359F" w:rsidRPr="00042FA0">
              <w:rPr>
                <w:sz w:val="22"/>
                <w:szCs w:val="22"/>
              </w:rPr>
              <w:t xml:space="preserve">.1.11.8. Открытое </w:t>
            </w:r>
            <w:r w:rsidR="00BE359F" w:rsidRPr="00042FA0">
              <w:rPr>
                <w:rFonts w:ascii="OpenSans" w:hAnsi="OpenSans"/>
                <w:color w:val="2C2C32"/>
                <w:sz w:val="22"/>
                <w:szCs w:val="22"/>
                <w:lang w:eastAsia="en-US"/>
              </w:rPr>
              <w:t>акционерное</w:t>
            </w:r>
            <w:r w:rsidR="002F022D" w:rsidRPr="00042FA0">
              <w:rPr>
                <w:sz w:val="22"/>
                <w:szCs w:val="22"/>
              </w:rPr>
              <w:t xml:space="preserve"> общество «</w:t>
            </w:r>
            <w:r w:rsidR="00BE359F" w:rsidRPr="00042FA0">
              <w:rPr>
                <w:sz w:val="22"/>
                <w:szCs w:val="22"/>
              </w:rPr>
              <w:t>Российские железные д</w:t>
            </w:r>
            <w:r w:rsidR="002F022D" w:rsidRPr="00042FA0">
              <w:rPr>
                <w:sz w:val="22"/>
                <w:szCs w:val="22"/>
              </w:rPr>
              <w:t>ороги»</w:t>
            </w:r>
            <w:r w:rsidR="00BE359F" w:rsidRPr="00042FA0">
              <w:rPr>
                <w:sz w:val="22"/>
                <w:szCs w:val="22"/>
              </w:rPr>
              <w:t>, ОГРН 1037739877295;</w:t>
            </w:r>
          </w:p>
          <w:p w14:paraId="0E626C2D" w14:textId="6FB9885C" w:rsidR="00BE359F" w:rsidRPr="00042FA0" w:rsidRDefault="00556999" w:rsidP="00BE359F">
            <w:pPr>
              <w:autoSpaceDE/>
              <w:autoSpaceDN/>
              <w:adjustRightInd w:val="0"/>
              <w:ind w:firstLine="567"/>
              <w:jc w:val="both"/>
              <w:rPr>
                <w:sz w:val="22"/>
                <w:szCs w:val="22"/>
              </w:rPr>
            </w:pPr>
            <w:r>
              <w:rPr>
                <w:sz w:val="22"/>
                <w:szCs w:val="22"/>
              </w:rPr>
              <w:t>22</w:t>
            </w:r>
            <w:r w:rsidR="00BE359F" w:rsidRPr="00042FA0">
              <w:rPr>
                <w:sz w:val="22"/>
                <w:szCs w:val="22"/>
              </w:rPr>
              <w:t>.1.11.9. Публичное акционерное общество «Газпром», ОГРН 1027700070518;</w:t>
            </w:r>
          </w:p>
          <w:p w14:paraId="5F35D01B" w14:textId="2BA58B25" w:rsidR="00BE359F" w:rsidRPr="00042FA0" w:rsidRDefault="00556999" w:rsidP="00BE359F">
            <w:pPr>
              <w:autoSpaceDE/>
              <w:autoSpaceDN/>
              <w:adjustRightInd w:val="0"/>
              <w:ind w:firstLine="567"/>
              <w:jc w:val="both"/>
              <w:rPr>
                <w:sz w:val="22"/>
                <w:szCs w:val="22"/>
                <w:lang w:eastAsia="en-US"/>
              </w:rPr>
            </w:pPr>
            <w:r>
              <w:rPr>
                <w:sz w:val="22"/>
                <w:szCs w:val="22"/>
                <w:lang w:eastAsia="en-US"/>
              </w:rPr>
              <w:t>22</w:t>
            </w:r>
            <w:r w:rsidR="00BE359F" w:rsidRPr="00042FA0">
              <w:rPr>
                <w:sz w:val="22"/>
                <w:szCs w:val="22"/>
                <w:lang w:eastAsia="en-US"/>
              </w:rPr>
              <w:t>.1.11.10. Государственная корпорация развития «ВЭБ.РФ», ОГРН 1077711000102</w:t>
            </w:r>
          </w:p>
          <w:p w14:paraId="2E7D774C" w14:textId="2D206D47" w:rsidR="00BE359F" w:rsidRPr="00042FA0" w:rsidRDefault="00556999" w:rsidP="00BE359F">
            <w:pPr>
              <w:autoSpaceDE/>
              <w:autoSpaceDN/>
              <w:adjustRightInd w:val="0"/>
              <w:ind w:firstLine="567"/>
              <w:jc w:val="both"/>
              <w:rPr>
                <w:sz w:val="22"/>
                <w:szCs w:val="22"/>
                <w:lang w:eastAsia="en-US"/>
              </w:rPr>
            </w:pPr>
            <w:r>
              <w:rPr>
                <w:sz w:val="22"/>
                <w:szCs w:val="22"/>
                <w:lang w:eastAsia="en-US"/>
              </w:rPr>
              <w:t>22</w:t>
            </w:r>
            <w:r w:rsidR="00BE359F" w:rsidRPr="00042FA0">
              <w:rPr>
                <w:sz w:val="22"/>
                <w:szCs w:val="22"/>
                <w:lang w:eastAsia="en-US"/>
              </w:rPr>
              <w:t>.1.11.11. Публичное акционерное общество «Сбербанк России», ОГРН 1027700132195;</w:t>
            </w:r>
          </w:p>
          <w:p w14:paraId="1E567022" w14:textId="7A1891E7" w:rsidR="00BE359F" w:rsidRPr="00042FA0" w:rsidRDefault="00BE359F" w:rsidP="00BE359F">
            <w:pPr>
              <w:autoSpaceDE/>
              <w:autoSpaceDN/>
              <w:adjustRightInd w:val="0"/>
              <w:ind w:firstLine="567"/>
              <w:jc w:val="both"/>
              <w:rPr>
                <w:sz w:val="22"/>
                <w:szCs w:val="22"/>
                <w:lang w:eastAsia="en-US"/>
              </w:rPr>
            </w:pPr>
            <w:r w:rsidRPr="00042FA0" w:rsidDel="00414689">
              <w:rPr>
                <w:color w:val="000000"/>
                <w:sz w:val="22"/>
                <w:szCs w:val="22"/>
                <w:lang w:eastAsia="en-US"/>
              </w:rPr>
              <w:t xml:space="preserve"> </w:t>
            </w:r>
            <w:r w:rsidR="00556999">
              <w:rPr>
                <w:sz w:val="22"/>
                <w:szCs w:val="22"/>
                <w:lang w:eastAsia="en-US"/>
              </w:rPr>
              <w:t>22</w:t>
            </w:r>
            <w:r w:rsidRPr="00042FA0">
              <w:rPr>
                <w:sz w:val="22"/>
                <w:szCs w:val="22"/>
                <w:lang w:eastAsia="en-US"/>
              </w:rPr>
              <w:t>.1.11.12. «Газпромбанк» (</w:t>
            </w:r>
            <w:r w:rsidRPr="00042FA0">
              <w:rPr>
                <w:sz w:val="22"/>
                <w:szCs w:val="22"/>
              </w:rPr>
              <w:t>Акционерное</w:t>
            </w:r>
            <w:r w:rsidRPr="00042FA0">
              <w:rPr>
                <w:sz w:val="22"/>
                <w:szCs w:val="22"/>
                <w:lang w:eastAsia="en-US"/>
              </w:rPr>
              <w:t xml:space="preserve"> общество), ОГРН 1027700167110;</w:t>
            </w:r>
          </w:p>
          <w:p w14:paraId="751893CD" w14:textId="0BEA5216" w:rsidR="00BE359F" w:rsidRPr="00042FA0" w:rsidRDefault="00556999" w:rsidP="00BE359F">
            <w:pPr>
              <w:autoSpaceDE/>
              <w:autoSpaceDN/>
              <w:adjustRightInd w:val="0"/>
              <w:ind w:firstLine="567"/>
              <w:jc w:val="both"/>
              <w:rPr>
                <w:sz w:val="22"/>
                <w:szCs w:val="22"/>
                <w:lang w:eastAsia="en-US"/>
              </w:rPr>
            </w:pPr>
            <w:r>
              <w:rPr>
                <w:sz w:val="22"/>
                <w:szCs w:val="22"/>
                <w:lang w:eastAsia="en-US"/>
              </w:rPr>
              <w:t>22</w:t>
            </w:r>
            <w:r w:rsidR="00BE359F" w:rsidRPr="00042FA0">
              <w:rPr>
                <w:sz w:val="22"/>
                <w:szCs w:val="22"/>
                <w:lang w:eastAsia="en-US"/>
              </w:rPr>
              <w:t>.1.11.13. АКЦИОНЕРНОЕ ОБЩЕСТВО «АЛЬФА-БАНК», ОГРН 1027700067328;</w:t>
            </w:r>
          </w:p>
          <w:p w14:paraId="4AEB1C4E" w14:textId="0AC3F2B3" w:rsidR="00BE359F" w:rsidRPr="00042FA0" w:rsidRDefault="00556999" w:rsidP="00BE359F">
            <w:pPr>
              <w:autoSpaceDE/>
              <w:autoSpaceDN/>
              <w:adjustRightInd w:val="0"/>
              <w:ind w:firstLine="567"/>
              <w:jc w:val="both"/>
              <w:rPr>
                <w:sz w:val="22"/>
                <w:szCs w:val="22"/>
                <w:lang w:eastAsia="en-US"/>
              </w:rPr>
            </w:pPr>
            <w:r>
              <w:rPr>
                <w:sz w:val="22"/>
                <w:szCs w:val="22"/>
                <w:lang w:eastAsia="en-US"/>
              </w:rPr>
              <w:t>22</w:t>
            </w:r>
            <w:r w:rsidR="00BE359F" w:rsidRPr="00042FA0">
              <w:rPr>
                <w:sz w:val="22"/>
                <w:szCs w:val="22"/>
                <w:lang w:eastAsia="en-US"/>
              </w:rPr>
              <w:t xml:space="preserve">.1.11.14. Акционерное </w:t>
            </w:r>
            <w:proofErr w:type="gramStart"/>
            <w:r w:rsidR="00BE359F" w:rsidRPr="00042FA0">
              <w:rPr>
                <w:sz w:val="22"/>
                <w:szCs w:val="22"/>
                <w:lang w:eastAsia="en-US"/>
              </w:rPr>
              <w:t>общество  «</w:t>
            </w:r>
            <w:proofErr w:type="gramEnd"/>
            <w:r w:rsidR="00BE359F" w:rsidRPr="00042FA0">
              <w:rPr>
                <w:sz w:val="22"/>
                <w:szCs w:val="22"/>
                <w:lang w:eastAsia="en-US"/>
              </w:rPr>
              <w:t>Российский Сельскохозяйственный банк», ОГРН 1027700342890;</w:t>
            </w:r>
          </w:p>
          <w:p w14:paraId="38A9A77D" w14:textId="179EA1A9" w:rsidR="00BE359F" w:rsidRPr="00042FA0" w:rsidRDefault="00556999" w:rsidP="00BE359F">
            <w:pPr>
              <w:autoSpaceDE/>
              <w:autoSpaceDN/>
              <w:adjustRightInd w:val="0"/>
              <w:ind w:firstLine="567"/>
              <w:jc w:val="both"/>
              <w:rPr>
                <w:sz w:val="22"/>
                <w:szCs w:val="22"/>
                <w:lang w:eastAsia="en-US"/>
              </w:rPr>
            </w:pPr>
            <w:r>
              <w:rPr>
                <w:sz w:val="22"/>
                <w:szCs w:val="22"/>
                <w:lang w:eastAsia="en-US"/>
              </w:rPr>
              <w:t>22</w:t>
            </w:r>
            <w:r w:rsidR="00BE359F" w:rsidRPr="00042FA0">
              <w:rPr>
                <w:sz w:val="22"/>
                <w:szCs w:val="22"/>
                <w:lang w:eastAsia="en-US"/>
              </w:rPr>
              <w:t>.1.11.15. Публичное акционерное общество «</w:t>
            </w:r>
            <w:proofErr w:type="spellStart"/>
            <w:r w:rsidR="00BE359F" w:rsidRPr="00042FA0">
              <w:rPr>
                <w:sz w:val="22"/>
                <w:szCs w:val="22"/>
                <w:lang w:eastAsia="en-US"/>
              </w:rPr>
              <w:t>Совкомбанк</w:t>
            </w:r>
            <w:proofErr w:type="spellEnd"/>
            <w:r w:rsidR="00BE359F" w:rsidRPr="00042FA0">
              <w:rPr>
                <w:sz w:val="22"/>
                <w:szCs w:val="22"/>
                <w:lang w:eastAsia="en-US"/>
              </w:rPr>
              <w:t>», ОГРН 1144400000425;</w:t>
            </w:r>
          </w:p>
          <w:p w14:paraId="5F8B475E" w14:textId="2BCB1A98" w:rsidR="00BE359F" w:rsidRPr="00042FA0" w:rsidRDefault="00556999" w:rsidP="00BE359F">
            <w:pPr>
              <w:autoSpaceDE/>
              <w:autoSpaceDN/>
              <w:adjustRightInd w:val="0"/>
              <w:ind w:firstLine="567"/>
              <w:jc w:val="both"/>
              <w:rPr>
                <w:sz w:val="22"/>
                <w:szCs w:val="22"/>
                <w:lang w:eastAsia="en-US"/>
              </w:rPr>
            </w:pPr>
            <w:r>
              <w:rPr>
                <w:sz w:val="22"/>
                <w:szCs w:val="22"/>
                <w:lang w:eastAsia="en-US"/>
              </w:rPr>
              <w:t>22</w:t>
            </w:r>
            <w:r w:rsidR="00BE359F" w:rsidRPr="00042FA0">
              <w:rPr>
                <w:sz w:val="22"/>
                <w:szCs w:val="22"/>
                <w:lang w:eastAsia="en-US"/>
              </w:rPr>
              <w:t>.1.11.16. Акционерное общество «Тинькофф Банк», ОГРН 1027739642281;</w:t>
            </w:r>
          </w:p>
          <w:p w14:paraId="7D3DBCA2" w14:textId="663BC973" w:rsidR="00BE359F" w:rsidRPr="00042FA0" w:rsidRDefault="00556999" w:rsidP="00BE359F">
            <w:pPr>
              <w:autoSpaceDE/>
              <w:autoSpaceDN/>
              <w:adjustRightInd w:val="0"/>
              <w:ind w:firstLine="567"/>
              <w:jc w:val="both"/>
              <w:rPr>
                <w:sz w:val="22"/>
                <w:szCs w:val="22"/>
                <w:lang w:eastAsia="en-US"/>
              </w:rPr>
            </w:pPr>
            <w:r>
              <w:rPr>
                <w:sz w:val="22"/>
                <w:szCs w:val="22"/>
                <w:lang w:eastAsia="en-US"/>
              </w:rPr>
              <w:t>22</w:t>
            </w:r>
            <w:r w:rsidR="00BE359F" w:rsidRPr="00042FA0">
              <w:rPr>
                <w:sz w:val="22"/>
                <w:szCs w:val="22"/>
                <w:lang w:eastAsia="en-US"/>
              </w:rPr>
              <w:t>.1.11.17. Публичное акционерное общество «Промсвязьбанк», ОГРН 1027739019142;</w:t>
            </w:r>
          </w:p>
          <w:p w14:paraId="447A8ABD" w14:textId="37E062A1" w:rsidR="00BE359F" w:rsidRPr="00042FA0" w:rsidRDefault="00556999" w:rsidP="00BE359F">
            <w:pPr>
              <w:autoSpaceDE/>
              <w:autoSpaceDN/>
              <w:ind w:firstLine="567"/>
              <w:jc w:val="both"/>
              <w:rPr>
                <w:sz w:val="22"/>
                <w:szCs w:val="22"/>
                <w:lang w:eastAsia="en-US"/>
              </w:rPr>
            </w:pPr>
            <w:r>
              <w:rPr>
                <w:sz w:val="22"/>
                <w:szCs w:val="22"/>
                <w:lang w:eastAsia="en-US"/>
              </w:rPr>
              <w:t>22</w:t>
            </w:r>
            <w:r w:rsidR="00BE359F" w:rsidRPr="00042FA0">
              <w:rPr>
                <w:sz w:val="22"/>
                <w:szCs w:val="22"/>
                <w:lang w:eastAsia="en-US"/>
              </w:rPr>
              <w:t>.1.11.18. Акционерное общество</w:t>
            </w:r>
            <w:r w:rsidR="00B31FDC" w:rsidRPr="00042FA0">
              <w:rPr>
                <w:sz w:val="22"/>
                <w:szCs w:val="22"/>
                <w:lang w:eastAsia="en-US"/>
              </w:rPr>
              <w:t xml:space="preserve"> «</w:t>
            </w:r>
            <w:proofErr w:type="spellStart"/>
            <w:r w:rsidR="00B31FDC" w:rsidRPr="00042FA0">
              <w:rPr>
                <w:sz w:val="22"/>
                <w:szCs w:val="22"/>
                <w:lang w:eastAsia="en-US"/>
              </w:rPr>
              <w:t>Росагролизинг</w:t>
            </w:r>
            <w:proofErr w:type="spellEnd"/>
            <w:r w:rsidR="00B31FDC" w:rsidRPr="00042FA0">
              <w:rPr>
                <w:sz w:val="22"/>
                <w:szCs w:val="22"/>
                <w:lang w:eastAsia="en-US"/>
              </w:rPr>
              <w:t xml:space="preserve">», ОГРН </w:t>
            </w:r>
            <w:r w:rsidR="00BE359F" w:rsidRPr="00042FA0">
              <w:rPr>
                <w:sz w:val="22"/>
                <w:szCs w:val="22"/>
                <w:lang w:eastAsia="en-US"/>
              </w:rPr>
              <w:t>1027700103210;</w:t>
            </w:r>
          </w:p>
          <w:p w14:paraId="2C29401D" w14:textId="371DBDBA" w:rsidR="00BE359F" w:rsidRPr="00042FA0" w:rsidRDefault="00556999" w:rsidP="00BE359F">
            <w:pPr>
              <w:autoSpaceDE/>
              <w:autoSpaceDN/>
              <w:ind w:firstLine="567"/>
              <w:jc w:val="both"/>
              <w:rPr>
                <w:sz w:val="22"/>
                <w:szCs w:val="22"/>
                <w:lang w:eastAsia="en-US"/>
              </w:rPr>
            </w:pPr>
            <w:r>
              <w:rPr>
                <w:sz w:val="22"/>
                <w:szCs w:val="22"/>
                <w:lang w:eastAsia="en-US"/>
              </w:rPr>
              <w:t>22</w:t>
            </w:r>
            <w:r w:rsidR="00BE359F" w:rsidRPr="00042FA0">
              <w:rPr>
                <w:sz w:val="22"/>
                <w:szCs w:val="22"/>
                <w:lang w:eastAsia="en-US"/>
              </w:rPr>
              <w:t>.1.11.19. Акционерное общество</w:t>
            </w:r>
            <w:r w:rsidR="00B31FDC" w:rsidRPr="00042FA0">
              <w:rPr>
                <w:sz w:val="22"/>
                <w:szCs w:val="22"/>
                <w:lang w:eastAsia="en-US"/>
              </w:rPr>
              <w:t xml:space="preserve"> «Банк ДОМ.РФ», ОГРН</w:t>
            </w:r>
            <w:r w:rsidR="00BE359F" w:rsidRPr="00042FA0">
              <w:rPr>
                <w:sz w:val="22"/>
                <w:szCs w:val="22"/>
                <w:lang w:eastAsia="en-US"/>
              </w:rPr>
              <w:t xml:space="preserve"> 1037739527077;</w:t>
            </w:r>
          </w:p>
          <w:p w14:paraId="3E119FE1" w14:textId="498C813A" w:rsidR="00F65418" w:rsidRPr="006E36FB" w:rsidRDefault="00556999" w:rsidP="00AE15B6">
            <w:pPr>
              <w:autoSpaceDE/>
              <w:autoSpaceDN/>
              <w:ind w:firstLine="567"/>
              <w:jc w:val="both"/>
              <w:rPr>
                <w:b/>
                <w:sz w:val="22"/>
                <w:szCs w:val="22"/>
              </w:rPr>
            </w:pPr>
            <w:r>
              <w:rPr>
                <w:sz w:val="22"/>
                <w:szCs w:val="22"/>
                <w:lang w:eastAsia="en-US"/>
              </w:rPr>
              <w:t>22</w:t>
            </w:r>
            <w:r w:rsidR="00BE359F" w:rsidRPr="00042FA0">
              <w:rPr>
                <w:sz w:val="22"/>
                <w:szCs w:val="22"/>
                <w:lang w:eastAsia="en-US"/>
              </w:rPr>
              <w:t>.1.11.20. Публичное акционерное общество</w:t>
            </w:r>
            <w:r w:rsidR="002F022D" w:rsidRPr="00042FA0">
              <w:rPr>
                <w:sz w:val="22"/>
                <w:szCs w:val="22"/>
                <w:lang w:eastAsia="en-US"/>
              </w:rPr>
              <w:t xml:space="preserve"> «Полюс»</w:t>
            </w:r>
            <w:r w:rsidR="00BE359F" w:rsidRPr="00042FA0">
              <w:rPr>
                <w:sz w:val="22"/>
                <w:szCs w:val="22"/>
                <w:lang w:eastAsia="en-US"/>
              </w:rPr>
              <w:t xml:space="preserve"> ОГРН 1068400002990</w:t>
            </w:r>
            <w:r w:rsidR="003B05C5" w:rsidRPr="00042FA0">
              <w:rPr>
                <w:sz w:val="22"/>
                <w:szCs w:val="22"/>
                <w:lang w:eastAsia="en-US"/>
              </w:rPr>
              <w:t>.</w:t>
            </w:r>
          </w:p>
        </w:tc>
      </w:tr>
      <w:tr w:rsidR="00900869" w:rsidRPr="00ED14F1" w14:paraId="66EDE44B" w14:textId="77777777" w:rsidTr="00027326">
        <w:trPr>
          <w:trHeight w:val="537"/>
        </w:trPr>
        <w:tc>
          <w:tcPr>
            <w:tcW w:w="568" w:type="dxa"/>
            <w:shd w:val="clear" w:color="auto" w:fill="auto"/>
          </w:tcPr>
          <w:p w14:paraId="265E2D53" w14:textId="21A2C652" w:rsidR="00900869" w:rsidRPr="00946B57" w:rsidRDefault="00B25FCF"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6</w:t>
            </w:r>
          </w:p>
        </w:tc>
        <w:tc>
          <w:tcPr>
            <w:tcW w:w="1076" w:type="dxa"/>
            <w:shd w:val="clear" w:color="auto" w:fill="auto"/>
          </w:tcPr>
          <w:p w14:paraId="05FD8EEA" w14:textId="37744F48" w:rsidR="00900869" w:rsidRDefault="00900869" w:rsidP="00576992">
            <w:pPr>
              <w:autoSpaceDE/>
              <w:autoSpaceDN/>
              <w:jc w:val="center"/>
              <w:rPr>
                <w:lang w:val="en-US"/>
              </w:rPr>
            </w:pPr>
            <w:r>
              <w:rPr>
                <w:lang w:val="en-US"/>
              </w:rPr>
              <w:t>22.1.12.</w:t>
            </w:r>
          </w:p>
        </w:tc>
        <w:tc>
          <w:tcPr>
            <w:tcW w:w="4170" w:type="dxa"/>
            <w:shd w:val="clear" w:color="auto" w:fill="auto"/>
            <w:vAlign w:val="center"/>
          </w:tcPr>
          <w:p w14:paraId="6B605E9A" w14:textId="77777777" w:rsidR="00900869" w:rsidRPr="001A3794" w:rsidRDefault="00900869" w:rsidP="001A3794">
            <w:pPr>
              <w:autoSpaceDE/>
              <w:autoSpaceDN/>
              <w:ind w:firstLine="567"/>
              <w:jc w:val="both"/>
              <w:rPr>
                <w:sz w:val="22"/>
                <w:szCs w:val="22"/>
              </w:rPr>
            </w:pPr>
          </w:p>
        </w:tc>
        <w:tc>
          <w:tcPr>
            <w:tcW w:w="4253" w:type="dxa"/>
            <w:shd w:val="clear" w:color="auto" w:fill="auto"/>
            <w:vAlign w:val="center"/>
          </w:tcPr>
          <w:p w14:paraId="280B66F0" w14:textId="0AAA3B8D" w:rsidR="000069BF" w:rsidRPr="008458DF" w:rsidRDefault="000069BF" w:rsidP="000069BF">
            <w:pPr>
              <w:autoSpaceDE/>
              <w:autoSpaceDN/>
              <w:jc w:val="both"/>
              <w:rPr>
                <w:sz w:val="22"/>
                <w:szCs w:val="22"/>
              </w:rPr>
            </w:pPr>
            <w:r w:rsidRPr="008458DF">
              <w:rPr>
                <w:sz w:val="22"/>
                <w:szCs w:val="22"/>
              </w:rPr>
              <w:t>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w:t>
            </w:r>
          </w:p>
          <w:p w14:paraId="5878DA88" w14:textId="77777777" w:rsidR="000069BF" w:rsidRPr="008458DF" w:rsidRDefault="000069BF" w:rsidP="000069BF">
            <w:pPr>
              <w:widowControl w:val="0"/>
              <w:adjustRightInd w:val="0"/>
              <w:spacing w:before="220"/>
              <w:ind w:firstLine="540"/>
              <w:jc w:val="both"/>
              <w:rPr>
                <w:sz w:val="22"/>
                <w:szCs w:val="22"/>
              </w:rPr>
            </w:pPr>
            <w:r w:rsidRPr="008458DF">
              <w:rPr>
                <w:sz w:val="22"/>
                <w:szCs w:val="22"/>
              </w:rPr>
              <w:t>Указанные в настоящем пункте облигации ТС и САЭ могут входит в состав активов фонда при одновременном соблюдении следующих условий:</w:t>
            </w:r>
          </w:p>
          <w:p w14:paraId="2F6468FA" w14:textId="77777777" w:rsidR="000069BF" w:rsidRPr="008458DF" w:rsidRDefault="000069BF" w:rsidP="00206562">
            <w:pPr>
              <w:autoSpaceDE/>
              <w:autoSpaceDN/>
              <w:adjustRightInd w:val="0"/>
              <w:ind w:firstLine="567"/>
              <w:jc w:val="both"/>
              <w:rPr>
                <w:sz w:val="22"/>
                <w:szCs w:val="22"/>
              </w:rPr>
            </w:pPr>
            <w:r w:rsidRPr="008458DF">
              <w:rPr>
                <w:sz w:val="22"/>
                <w:szCs w:val="22"/>
              </w:rPr>
              <w:t>22.1.12.1. облигации ТС и САЭ размещены после 31 декабря 2022 года;</w:t>
            </w:r>
          </w:p>
          <w:p w14:paraId="3A1C02EE" w14:textId="77777777" w:rsidR="000069BF" w:rsidRPr="008458DF" w:rsidRDefault="000069BF" w:rsidP="00206562">
            <w:pPr>
              <w:autoSpaceDE/>
              <w:autoSpaceDN/>
              <w:adjustRightInd w:val="0"/>
              <w:ind w:firstLine="567"/>
              <w:jc w:val="both"/>
              <w:rPr>
                <w:sz w:val="22"/>
                <w:szCs w:val="22"/>
              </w:rPr>
            </w:pPr>
            <w:r w:rsidRPr="008458DF">
              <w:rPr>
                <w:sz w:val="22"/>
                <w:szCs w:val="22"/>
              </w:rPr>
              <w:t>22.1.12.2. решение о выпуске облигаций ТС и САЭ содержит следующие сведения:</w:t>
            </w:r>
          </w:p>
          <w:p w14:paraId="5FA94292" w14:textId="77777777" w:rsidR="000069BF" w:rsidRPr="008458DF" w:rsidRDefault="000069BF" w:rsidP="00206562">
            <w:pPr>
              <w:autoSpaceDE/>
              <w:autoSpaceDN/>
              <w:adjustRightInd w:val="0"/>
              <w:ind w:firstLine="567"/>
              <w:jc w:val="both"/>
              <w:rPr>
                <w:sz w:val="22"/>
                <w:szCs w:val="22"/>
              </w:rPr>
            </w:pPr>
            <w:r w:rsidRPr="008458DF">
              <w:rPr>
                <w:sz w:val="22"/>
                <w:szCs w:val="22"/>
              </w:rPr>
              <w:t>22.1.12.3. 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7B6BBA45" w14:textId="77777777" w:rsidR="000069BF" w:rsidRPr="008458DF" w:rsidRDefault="000069BF" w:rsidP="00206562">
            <w:pPr>
              <w:autoSpaceDE/>
              <w:autoSpaceDN/>
              <w:adjustRightInd w:val="0"/>
              <w:ind w:firstLine="567"/>
              <w:jc w:val="both"/>
              <w:rPr>
                <w:sz w:val="22"/>
                <w:szCs w:val="22"/>
              </w:rPr>
            </w:pPr>
            <w:r w:rsidRPr="008458DF">
              <w:rPr>
                <w:sz w:val="22"/>
                <w:szCs w:val="22"/>
              </w:rPr>
              <w:t>22.1.12.4. 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6ED5E419" w14:textId="77777777" w:rsidR="000069BF" w:rsidRPr="008458DF" w:rsidRDefault="000069BF" w:rsidP="00206562">
            <w:pPr>
              <w:autoSpaceDE/>
              <w:autoSpaceDN/>
              <w:adjustRightInd w:val="0"/>
              <w:ind w:firstLine="567"/>
              <w:jc w:val="both"/>
              <w:rPr>
                <w:sz w:val="22"/>
                <w:szCs w:val="22"/>
              </w:rPr>
            </w:pPr>
            <w:r w:rsidRPr="008458DF">
              <w:rPr>
                <w:sz w:val="22"/>
                <w:szCs w:val="22"/>
              </w:rPr>
              <w:t>22.1.12.5. 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1E9C76D0" w14:textId="77777777" w:rsidR="000069BF" w:rsidRPr="008458DF" w:rsidRDefault="000069BF" w:rsidP="00EB4A47">
            <w:pPr>
              <w:autoSpaceDE/>
              <w:autoSpaceDN/>
              <w:adjustRightInd w:val="0"/>
              <w:ind w:firstLine="567"/>
              <w:jc w:val="both"/>
              <w:rPr>
                <w:sz w:val="22"/>
                <w:szCs w:val="22"/>
              </w:rPr>
            </w:pPr>
            <w:r w:rsidRPr="008458DF">
              <w:rPr>
                <w:sz w:val="22"/>
                <w:szCs w:val="22"/>
              </w:rPr>
              <w:t>22.1.12.6. 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p>
          <w:p w14:paraId="6B1A319A" w14:textId="77777777" w:rsidR="00900869" w:rsidRPr="008458DF" w:rsidRDefault="00900869" w:rsidP="005B312D">
            <w:pPr>
              <w:autoSpaceDE/>
              <w:autoSpaceDN/>
              <w:ind w:firstLine="567"/>
              <w:jc w:val="both"/>
              <w:rPr>
                <w:sz w:val="22"/>
                <w:szCs w:val="22"/>
              </w:rPr>
            </w:pPr>
          </w:p>
        </w:tc>
      </w:tr>
      <w:tr w:rsidR="002E4229" w:rsidRPr="00ED14F1" w14:paraId="79215436" w14:textId="77777777" w:rsidTr="00027326">
        <w:trPr>
          <w:trHeight w:val="537"/>
        </w:trPr>
        <w:tc>
          <w:tcPr>
            <w:tcW w:w="568" w:type="dxa"/>
            <w:shd w:val="clear" w:color="auto" w:fill="auto"/>
          </w:tcPr>
          <w:p w14:paraId="7B61E835" w14:textId="4E3D9B5E" w:rsidR="002E4229" w:rsidRPr="00205BE4" w:rsidRDefault="00B25FCF" w:rsidP="00576992">
            <w:pPr>
              <w:pStyle w:val="prg3"/>
              <w:numPr>
                <w:ilvl w:val="0"/>
                <w:numId w:val="0"/>
              </w:numPr>
              <w:spacing w:line="280" w:lineRule="exact"/>
              <w:jc w:val="center"/>
              <w:rPr>
                <w:rFonts w:ascii="Times New Roman" w:hAnsi="Times New Roman" w:cs="Times New Roman"/>
                <w:kern w:val="0"/>
                <w:lang w:val="en-US"/>
              </w:rPr>
            </w:pPr>
            <w:r>
              <w:rPr>
                <w:rFonts w:ascii="Times New Roman" w:hAnsi="Times New Roman" w:cs="Times New Roman"/>
                <w:kern w:val="0"/>
                <w:lang w:val="en-US"/>
              </w:rPr>
              <w:t>7</w:t>
            </w:r>
          </w:p>
        </w:tc>
        <w:tc>
          <w:tcPr>
            <w:tcW w:w="1076" w:type="dxa"/>
            <w:shd w:val="clear" w:color="auto" w:fill="auto"/>
          </w:tcPr>
          <w:p w14:paraId="761645D1" w14:textId="13F12493" w:rsidR="002E4229" w:rsidRPr="00205BE4" w:rsidRDefault="00205BE4" w:rsidP="00576992">
            <w:pPr>
              <w:autoSpaceDE/>
              <w:autoSpaceDN/>
              <w:jc w:val="center"/>
              <w:rPr>
                <w:lang w:val="en-US"/>
              </w:rPr>
            </w:pPr>
            <w:r>
              <w:rPr>
                <w:lang w:val="en-US"/>
              </w:rPr>
              <w:t>22.5.</w:t>
            </w:r>
          </w:p>
        </w:tc>
        <w:tc>
          <w:tcPr>
            <w:tcW w:w="4170" w:type="dxa"/>
            <w:shd w:val="clear" w:color="auto" w:fill="auto"/>
            <w:vAlign w:val="center"/>
          </w:tcPr>
          <w:p w14:paraId="24A744E8" w14:textId="77777777" w:rsidR="00854A78" w:rsidRPr="00854A78" w:rsidRDefault="00854A78" w:rsidP="00854A78">
            <w:pPr>
              <w:autoSpaceDE/>
              <w:autoSpaceDN/>
              <w:ind w:firstLine="567"/>
              <w:jc w:val="both"/>
              <w:rPr>
                <w:sz w:val="22"/>
                <w:szCs w:val="22"/>
              </w:rPr>
            </w:pPr>
            <w:r w:rsidRPr="00854A78">
              <w:rPr>
                <w:sz w:val="22"/>
                <w:szCs w:val="22"/>
              </w:rPr>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854A78">
              <w:rPr>
                <w:i/>
                <w:sz w:val="22"/>
                <w:szCs w:val="22"/>
              </w:rPr>
              <w:t>(далее – ликвидный инструмент)</w:t>
            </w:r>
            <w:r w:rsidRPr="00854A78">
              <w:rPr>
                <w:sz w:val="22"/>
                <w:szCs w:val="22"/>
              </w:rPr>
              <w:t xml:space="preserve"> в настоящих Правилах понимаются следующие инструменты:</w:t>
            </w:r>
          </w:p>
          <w:p w14:paraId="400B37E6" w14:textId="77777777" w:rsidR="00854A78" w:rsidRPr="00854A78" w:rsidRDefault="00854A78" w:rsidP="00854A78">
            <w:pPr>
              <w:autoSpaceDE/>
              <w:autoSpaceDN/>
              <w:ind w:firstLine="567"/>
              <w:jc w:val="both"/>
              <w:rPr>
                <w:sz w:val="22"/>
                <w:szCs w:val="22"/>
              </w:rPr>
            </w:pPr>
            <w:r w:rsidRPr="00854A78">
              <w:rPr>
                <w:sz w:val="22"/>
                <w:szCs w:val="22"/>
              </w:rPr>
              <w:t>а) инструменты денежного рынка со сроком до погашения (закрытия) менее 3 (Трех) месяцев;</w:t>
            </w:r>
          </w:p>
          <w:p w14:paraId="096C4534" w14:textId="77777777" w:rsidR="00854A78" w:rsidRPr="00854A78" w:rsidRDefault="00854A78" w:rsidP="00854A78">
            <w:pPr>
              <w:autoSpaceDE/>
              <w:autoSpaceDN/>
              <w:ind w:firstLine="567"/>
              <w:jc w:val="both"/>
              <w:rPr>
                <w:sz w:val="22"/>
                <w:szCs w:val="22"/>
              </w:rPr>
            </w:pPr>
            <w:r w:rsidRPr="00854A78">
              <w:rPr>
                <w:sz w:val="22"/>
                <w:szCs w:val="22"/>
              </w:rPr>
              <w:t>б) права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19A79CC8" w14:textId="77777777" w:rsidR="00854A78" w:rsidRPr="00854A78" w:rsidRDefault="00854A78" w:rsidP="00854A78">
            <w:pPr>
              <w:autoSpaceDE/>
              <w:autoSpaceDN/>
              <w:ind w:firstLine="567"/>
              <w:jc w:val="both"/>
              <w:rPr>
                <w:sz w:val="22"/>
                <w:szCs w:val="22"/>
              </w:rPr>
            </w:pPr>
            <w:r w:rsidRPr="00854A78">
              <w:rPr>
                <w:sz w:val="22"/>
                <w:szCs w:val="22"/>
                <w:lang w:eastAsia="en-US"/>
              </w:rPr>
              <w:t>в) инвестиционные паи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p>
          <w:p w14:paraId="4E3663AC" w14:textId="77777777" w:rsidR="00854A78" w:rsidRPr="00854A78" w:rsidRDefault="00854A78" w:rsidP="00854A78">
            <w:pPr>
              <w:autoSpaceDE/>
              <w:autoSpaceDN/>
              <w:ind w:firstLine="567"/>
              <w:jc w:val="both"/>
              <w:rPr>
                <w:sz w:val="22"/>
                <w:szCs w:val="22"/>
                <w:lang w:eastAsia="en-US"/>
              </w:rPr>
            </w:pPr>
            <w:r w:rsidRPr="00854A78">
              <w:rPr>
                <w:sz w:val="22"/>
                <w:szCs w:val="22"/>
              </w:rPr>
              <w:t>г)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r w:rsidRPr="00854A78">
              <w:rPr>
                <w:sz w:val="22"/>
                <w:szCs w:val="22"/>
                <w:lang w:eastAsia="en-US"/>
              </w:rPr>
              <w:t>;</w:t>
            </w:r>
          </w:p>
          <w:p w14:paraId="179A8E1C"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д) ценные бумаги, входящие в расчет следующих фондовых индексов:</w:t>
            </w:r>
          </w:p>
          <w:p w14:paraId="1F4A8CBC"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S&amp;P/ASX 200 (Австралия),</w:t>
            </w:r>
          </w:p>
          <w:p w14:paraId="0A05C37E"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ATX (Австрия),</w:t>
            </w:r>
          </w:p>
          <w:p w14:paraId="1A297F49"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BEL20 (Бельгия),</w:t>
            </w:r>
          </w:p>
          <w:p w14:paraId="4504C413"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xml:space="preserve">- </w:t>
            </w:r>
            <w:proofErr w:type="spellStart"/>
            <w:r w:rsidRPr="00854A78">
              <w:rPr>
                <w:sz w:val="22"/>
                <w:szCs w:val="22"/>
                <w:lang w:eastAsia="en-US"/>
              </w:rPr>
              <w:t>Bovespa</w:t>
            </w:r>
            <w:proofErr w:type="spellEnd"/>
            <w:r w:rsidRPr="00854A78">
              <w:rPr>
                <w:sz w:val="22"/>
                <w:szCs w:val="22"/>
                <w:lang w:eastAsia="en-US"/>
              </w:rPr>
              <w:t xml:space="preserve"> </w:t>
            </w:r>
            <w:proofErr w:type="spellStart"/>
            <w:r w:rsidRPr="00854A78">
              <w:rPr>
                <w:sz w:val="22"/>
                <w:szCs w:val="22"/>
                <w:lang w:eastAsia="en-US"/>
              </w:rPr>
              <w:t>Index</w:t>
            </w:r>
            <w:proofErr w:type="spellEnd"/>
            <w:r w:rsidRPr="00854A78">
              <w:rPr>
                <w:sz w:val="22"/>
                <w:szCs w:val="22"/>
                <w:lang w:eastAsia="en-US"/>
              </w:rPr>
              <w:t xml:space="preserve"> (Бразилия),</w:t>
            </w:r>
          </w:p>
          <w:p w14:paraId="62E2DB5A"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xml:space="preserve">- </w:t>
            </w:r>
            <w:r w:rsidRPr="00854A78">
              <w:rPr>
                <w:sz w:val="22"/>
                <w:szCs w:val="22"/>
                <w:lang w:val="en-US" w:eastAsia="en-US"/>
              </w:rPr>
              <w:t>BUX</w:t>
            </w:r>
            <w:r w:rsidRPr="00854A78">
              <w:rPr>
                <w:sz w:val="22"/>
                <w:szCs w:val="22"/>
                <w:lang w:eastAsia="en-US"/>
              </w:rPr>
              <w:t xml:space="preserve"> (Венгрия),</w:t>
            </w:r>
          </w:p>
          <w:p w14:paraId="3405EC5B"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FTSE 100 (Великобритания),</w:t>
            </w:r>
          </w:p>
          <w:p w14:paraId="62491EAC"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xml:space="preserve">- </w:t>
            </w:r>
            <w:proofErr w:type="spellStart"/>
            <w:r w:rsidRPr="00854A78">
              <w:rPr>
                <w:sz w:val="22"/>
                <w:szCs w:val="22"/>
                <w:lang w:eastAsia="en-US"/>
              </w:rPr>
              <w:t>Hang</w:t>
            </w:r>
            <w:proofErr w:type="spellEnd"/>
            <w:r w:rsidRPr="00854A78">
              <w:rPr>
                <w:sz w:val="22"/>
                <w:szCs w:val="22"/>
                <w:lang w:eastAsia="en-US"/>
              </w:rPr>
              <w:t xml:space="preserve"> </w:t>
            </w:r>
            <w:proofErr w:type="spellStart"/>
            <w:r w:rsidRPr="00854A78">
              <w:rPr>
                <w:sz w:val="22"/>
                <w:szCs w:val="22"/>
                <w:lang w:eastAsia="en-US"/>
              </w:rPr>
              <w:t>Seng</w:t>
            </w:r>
            <w:proofErr w:type="spellEnd"/>
            <w:r w:rsidRPr="00854A78">
              <w:rPr>
                <w:sz w:val="22"/>
                <w:szCs w:val="22"/>
                <w:lang w:eastAsia="en-US"/>
              </w:rPr>
              <w:t xml:space="preserve"> (Гонконг),</w:t>
            </w:r>
          </w:p>
          <w:p w14:paraId="2A2A8E7E"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DAX (Германия),</w:t>
            </w:r>
          </w:p>
          <w:p w14:paraId="3DA941BA"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xml:space="preserve">- OMX </w:t>
            </w:r>
            <w:proofErr w:type="spellStart"/>
            <w:r w:rsidRPr="00854A78">
              <w:rPr>
                <w:sz w:val="22"/>
                <w:szCs w:val="22"/>
                <w:lang w:eastAsia="en-US"/>
              </w:rPr>
              <w:t>Copenhagen</w:t>
            </w:r>
            <w:proofErr w:type="spellEnd"/>
            <w:r w:rsidRPr="00854A78">
              <w:rPr>
                <w:sz w:val="22"/>
                <w:szCs w:val="22"/>
                <w:lang w:eastAsia="en-US"/>
              </w:rPr>
              <w:t xml:space="preserve"> 20 (Дания),</w:t>
            </w:r>
          </w:p>
          <w:p w14:paraId="214B6120"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TA-35 (</w:t>
            </w:r>
            <w:r w:rsidRPr="00854A78">
              <w:rPr>
                <w:sz w:val="22"/>
                <w:szCs w:val="22"/>
                <w:lang w:eastAsia="en-US"/>
              </w:rPr>
              <w:t>Израиль</w:t>
            </w:r>
            <w:r w:rsidRPr="00854A78">
              <w:rPr>
                <w:sz w:val="22"/>
                <w:szCs w:val="22"/>
                <w:lang w:val="en-US" w:eastAsia="en-US"/>
              </w:rPr>
              <w:t>),</w:t>
            </w:r>
          </w:p>
          <w:p w14:paraId="63D9D952"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S&amp;P BSE SENSEX</w:t>
            </w:r>
            <w:r w:rsidRPr="00854A78">
              <w:rPr>
                <w:rFonts w:ascii="Arial" w:hAnsi="Arial" w:cs="Arial"/>
                <w:lang w:val="en-US" w:eastAsia="en-US"/>
              </w:rPr>
              <w:t xml:space="preserve"> </w:t>
            </w:r>
            <w:r w:rsidRPr="00854A78">
              <w:rPr>
                <w:sz w:val="22"/>
                <w:szCs w:val="22"/>
                <w:lang w:val="en-US" w:eastAsia="en-US"/>
              </w:rPr>
              <w:t>(</w:t>
            </w:r>
            <w:r w:rsidRPr="00854A78">
              <w:rPr>
                <w:sz w:val="22"/>
                <w:szCs w:val="22"/>
                <w:lang w:eastAsia="en-US"/>
              </w:rPr>
              <w:t>Индия</w:t>
            </w:r>
            <w:r w:rsidRPr="00854A78">
              <w:rPr>
                <w:sz w:val="22"/>
                <w:szCs w:val="22"/>
                <w:lang w:val="en-US" w:eastAsia="en-US"/>
              </w:rPr>
              <w:t>),</w:t>
            </w:r>
          </w:p>
          <w:p w14:paraId="377310AE"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ISEQ 20 (</w:t>
            </w:r>
            <w:r w:rsidRPr="00854A78">
              <w:rPr>
                <w:sz w:val="22"/>
                <w:szCs w:val="22"/>
                <w:lang w:eastAsia="en-US"/>
              </w:rPr>
              <w:t>Ирландия</w:t>
            </w:r>
            <w:r w:rsidRPr="00854A78">
              <w:rPr>
                <w:sz w:val="22"/>
                <w:szCs w:val="22"/>
                <w:lang w:val="en-US" w:eastAsia="en-US"/>
              </w:rPr>
              <w:t>),</w:t>
            </w:r>
          </w:p>
          <w:p w14:paraId="5453C0A5"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OMX Iceland 10</w:t>
            </w:r>
            <w:r w:rsidRPr="00854A78">
              <w:rPr>
                <w:lang w:val="en-US" w:eastAsia="en-US"/>
              </w:rPr>
              <w:t xml:space="preserve"> </w:t>
            </w:r>
            <w:r w:rsidRPr="00854A78">
              <w:rPr>
                <w:sz w:val="22"/>
                <w:szCs w:val="22"/>
                <w:lang w:val="en-US" w:eastAsia="en-US"/>
              </w:rPr>
              <w:t xml:space="preserve"> (</w:t>
            </w:r>
            <w:r w:rsidRPr="00854A78">
              <w:rPr>
                <w:sz w:val="22"/>
                <w:szCs w:val="22"/>
                <w:lang w:eastAsia="en-US"/>
              </w:rPr>
              <w:t>Исландия</w:t>
            </w:r>
            <w:r w:rsidRPr="00854A78">
              <w:rPr>
                <w:sz w:val="22"/>
                <w:szCs w:val="22"/>
                <w:lang w:val="en-US" w:eastAsia="en-US"/>
              </w:rPr>
              <w:t>),</w:t>
            </w:r>
          </w:p>
          <w:p w14:paraId="2C126730"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IBEX 35 (</w:t>
            </w:r>
            <w:r w:rsidRPr="00854A78">
              <w:rPr>
                <w:sz w:val="22"/>
                <w:szCs w:val="22"/>
                <w:lang w:eastAsia="en-US"/>
              </w:rPr>
              <w:t>Испания</w:t>
            </w:r>
            <w:r w:rsidRPr="00854A78">
              <w:rPr>
                <w:sz w:val="22"/>
                <w:szCs w:val="22"/>
                <w:lang w:val="en-US" w:eastAsia="en-US"/>
              </w:rPr>
              <w:t>),</w:t>
            </w:r>
          </w:p>
          <w:p w14:paraId="590D6FD5"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FTSE MIB (</w:t>
            </w:r>
            <w:r w:rsidRPr="00854A78">
              <w:rPr>
                <w:sz w:val="22"/>
                <w:szCs w:val="22"/>
                <w:lang w:eastAsia="en-US"/>
              </w:rPr>
              <w:t>Италия</w:t>
            </w:r>
            <w:r w:rsidRPr="00854A78">
              <w:rPr>
                <w:sz w:val="22"/>
                <w:szCs w:val="22"/>
                <w:lang w:val="en-US" w:eastAsia="en-US"/>
              </w:rPr>
              <w:t>),</w:t>
            </w:r>
          </w:p>
          <w:p w14:paraId="73881E96"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S&amp;P/TSX Composite (</w:t>
            </w:r>
            <w:r w:rsidRPr="00854A78">
              <w:rPr>
                <w:sz w:val="22"/>
                <w:szCs w:val="22"/>
                <w:lang w:eastAsia="en-US"/>
              </w:rPr>
              <w:t>Канада</w:t>
            </w:r>
            <w:r w:rsidRPr="00854A78">
              <w:rPr>
                <w:sz w:val="22"/>
                <w:szCs w:val="22"/>
                <w:lang w:val="en-US" w:eastAsia="en-US"/>
              </w:rPr>
              <w:t>),</w:t>
            </w:r>
          </w:p>
          <w:p w14:paraId="480A4306"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Shanghai Shenzhen CSI 300 Index (</w:t>
            </w:r>
            <w:r w:rsidRPr="00854A78">
              <w:rPr>
                <w:sz w:val="22"/>
                <w:szCs w:val="22"/>
                <w:lang w:eastAsia="en-US"/>
              </w:rPr>
              <w:t>Китай</w:t>
            </w:r>
            <w:r w:rsidRPr="00854A78">
              <w:rPr>
                <w:sz w:val="22"/>
                <w:szCs w:val="22"/>
                <w:lang w:val="en-US" w:eastAsia="en-US"/>
              </w:rPr>
              <w:t>),</w:t>
            </w:r>
          </w:p>
          <w:p w14:paraId="4CBA11A0"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xml:space="preserve">- </w:t>
            </w:r>
            <w:proofErr w:type="spellStart"/>
            <w:r w:rsidRPr="00854A78">
              <w:rPr>
                <w:sz w:val="22"/>
                <w:szCs w:val="22"/>
                <w:lang w:val="en-US" w:eastAsia="en-US"/>
              </w:rPr>
              <w:t>LuxX</w:t>
            </w:r>
            <w:proofErr w:type="spellEnd"/>
            <w:r w:rsidRPr="00854A78">
              <w:rPr>
                <w:sz w:val="22"/>
                <w:szCs w:val="22"/>
                <w:lang w:val="en-US" w:eastAsia="en-US"/>
              </w:rPr>
              <w:t xml:space="preserve"> (</w:t>
            </w:r>
            <w:r w:rsidRPr="00854A78">
              <w:rPr>
                <w:sz w:val="22"/>
                <w:szCs w:val="22"/>
                <w:lang w:eastAsia="en-US"/>
              </w:rPr>
              <w:t>Люксембург</w:t>
            </w:r>
            <w:r w:rsidRPr="00854A78">
              <w:rPr>
                <w:sz w:val="22"/>
                <w:szCs w:val="22"/>
                <w:lang w:val="en-US" w:eastAsia="en-US"/>
              </w:rPr>
              <w:t>),</w:t>
            </w:r>
          </w:p>
          <w:p w14:paraId="1942F5CD"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S&amp;P/BMV IPC (</w:t>
            </w:r>
            <w:r w:rsidRPr="00854A78">
              <w:rPr>
                <w:sz w:val="22"/>
                <w:szCs w:val="22"/>
                <w:lang w:eastAsia="en-US"/>
              </w:rPr>
              <w:t>Мексика</w:t>
            </w:r>
            <w:r w:rsidRPr="00854A78">
              <w:rPr>
                <w:sz w:val="22"/>
                <w:szCs w:val="22"/>
                <w:lang w:val="en-US" w:eastAsia="en-US"/>
              </w:rPr>
              <w:t>),</w:t>
            </w:r>
          </w:p>
          <w:p w14:paraId="38DC88AC"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AEX (</w:t>
            </w:r>
            <w:r w:rsidRPr="00854A78">
              <w:rPr>
                <w:sz w:val="22"/>
                <w:szCs w:val="22"/>
                <w:lang w:eastAsia="en-US"/>
              </w:rPr>
              <w:t>Нидерланды</w:t>
            </w:r>
            <w:r w:rsidRPr="00854A78">
              <w:rPr>
                <w:sz w:val="22"/>
                <w:szCs w:val="22"/>
                <w:lang w:val="en-US" w:eastAsia="en-US"/>
              </w:rPr>
              <w:t>),</w:t>
            </w:r>
          </w:p>
          <w:p w14:paraId="7F740818"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S&amp;P/NZX 50</w:t>
            </w:r>
            <w:r w:rsidRPr="00854A78">
              <w:rPr>
                <w:b/>
                <w:lang w:val="en-US" w:eastAsia="en-US"/>
              </w:rPr>
              <w:t xml:space="preserve"> </w:t>
            </w:r>
            <w:r w:rsidRPr="00854A78">
              <w:rPr>
                <w:sz w:val="22"/>
                <w:szCs w:val="22"/>
                <w:lang w:val="en-US" w:eastAsia="en-US"/>
              </w:rPr>
              <w:t>(</w:t>
            </w:r>
            <w:r w:rsidRPr="00854A78">
              <w:rPr>
                <w:sz w:val="22"/>
                <w:szCs w:val="22"/>
                <w:lang w:eastAsia="en-US"/>
              </w:rPr>
              <w:t>Новая</w:t>
            </w:r>
            <w:r w:rsidRPr="00854A78">
              <w:rPr>
                <w:sz w:val="22"/>
                <w:szCs w:val="22"/>
                <w:lang w:val="en-US" w:eastAsia="en-US"/>
              </w:rPr>
              <w:t xml:space="preserve"> </w:t>
            </w:r>
            <w:r w:rsidRPr="00854A78">
              <w:rPr>
                <w:sz w:val="22"/>
                <w:szCs w:val="22"/>
                <w:lang w:eastAsia="en-US"/>
              </w:rPr>
              <w:t>Зеландия</w:t>
            </w:r>
            <w:r w:rsidRPr="00854A78">
              <w:rPr>
                <w:sz w:val="22"/>
                <w:szCs w:val="22"/>
                <w:lang w:val="en-US" w:eastAsia="en-US"/>
              </w:rPr>
              <w:t>),</w:t>
            </w:r>
          </w:p>
          <w:p w14:paraId="21678A37"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OBX (</w:t>
            </w:r>
            <w:r w:rsidRPr="00854A78">
              <w:rPr>
                <w:sz w:val="22"/>
                <w:szCs w:val="22"/>
                <w:lang w:eastAsia="en-US"/>
              </w:rPr>
              <w:t>Норвегия</w:t>
            </w:r>
            <w:r w:rsidRPr="00854A78">
              <w:rPr>
                <w:sz w:val="22"/>
                <w:szCs w:val="22"/>
                <w:lang w:val="en-US" w:eastAsia="en-US"/>
              </w:rPr>
              <w:t>),</w:t>
            </w:r>
          </w:p>
          <w:p w14:paraId="1C2E1F72"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WIG20 (</w:t>
            </w:r>
            <w:r w:rsidRPr="00854A78">
              <w:rPr>
                <w:sz w:val="22"/>
                <w:szCs w:val="22"/>
                <w:lang w:eastAsia="en-US"/>
              </w:rPr>
              <w:t>Польша</w:t>
            </w:r>
            <w:r w:rsidRPr="00854A78">
              <w:rPr>
                <w:sz w:val="22"/>
                <w:szCs w:val="22"/>
                <w:lang w:val="en-US" w:eastAsia="en-US"/>
              </w:rPr>
              <w:t>),</w:t>
            </w:r>
          </w:p>
          <w:p w14:paraId="30792C7C"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PSI 20 (</w:t>
            </w:r>
            <w:r w:rsidRPr="00854A78">
              <w:rPr>
                <w:sz w:val="22"/>
                <w:szCs w:val="22"/>
                <w:lang w:eastAsia="en-US"/>
              </w:rPr>
              <w:t>Португалия</w:t>
            </w:r>
            <w:r w:rsidRPr="00854A78">
              <w:rPr>
                <w:sz w:val="22"/>
                <w:szCs w:val="22"/>
                <w:lang w:val="en-US" w:eastAsia="en-US"/>
              </w:rPr>
              <w:t>),</w:t>
            </w:r>
          </w:p>
          <w:p w14:paraId="33AC633F"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xml:space="preserve">- Индекс </w:t>
            </w:r>
            <w:proofErr w:type="spellStart"/>
            <w:r w:rsidRPr="00854A78">
              <w:rPr>
                <w:sz w:val="22"/>
                <w:szCs w:val="22"/>
                <w:lang w:eastAsia="en-US"/>
              </w:rPr>
              <w:t>МосБиржи</w:t>
            </w:r>
            <w:proofErr w:type="spellEnd"/>
            <w:r w:rsidRPr="00854A78">
              <w:rPr>
                <w:sz w:val="22"/>
                <w:szCs w:val="22"/>
                <w:lang w:eastAsia="en-US"/>
              </w:rPr>
              <w:t xml:space="preserve"> (Россия),</w:t>
            </w:r>
          </w:p>
          <w:p w14:paraId="77682553"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Индекс РТС (Россия),</w:t>
            </w:r>
          </w:p>
          <w:p w14:paraId="716CDF41"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SAX (Словакия),</w:t>
            </w:r>
          </w:p>
          <w:p w14:paraId="78BDB56C"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xml:space="preserve">- </w:t>
            </w:r>
            <w:r w:rsidRPr="00854A78">
              <w:rPr>
                <w:sz w:val="22"/>
                <w:szCs w:val="22"/>
                <w:lang w:val="en-US" w:eastAsia="en-US"/>
              </w:rPr>
              <w:t>SBI</w:t>
            </w:r>
            <w:r w:rsidRPr="00854A78">
              <w:rPr>
                <w:sz w:val="22"/>
                <w:szCs w:val="22"/>
                <w:lang w:eastAsia="en-US"/>
              </w:rPr>
              <w:t xml:space="preserve"> </w:t>
            </w:r>
            <w:r w:rsidRPr="00854A78">
              <w:rPr>
                <w:sz w:val="22"/>
                <w:szCs w:val="22"/>
                <w:lang w:val="en-US" w:eastAsia="en-US"/>
              </w:rPr>
              <w:t>TOP</w:t>
            </w:r>
            <w:r w:rsidRPr="00854A78">
              <w:rPr>
                <w:sz w:val="22"/>
                <w:szCs w:val="22"/>
                <w:lang w:eastAsia="en-US"/>
              </w:rPr>
              <w:t xml:space="preserve"> (Словения),</w:t>
            </w:r>
          </w:p>
          <w:p w14:paraId="20E5F755"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Dow Jones (</w:t>
            </w:r>
            <w:r w:rsidRPr="00854A78">
              <w:rPr>
                <w:sz w:val="22"/>
                <w:szCs w:val="22"/>
                <w:lang w:eastAsia="en-US"/>
              </w:rPr>
              <w:t>США</w:t>
            </w:r>
            <w:r w:rsidRPr="00854A78">
              <w:rPr>
                <w:sz w:val="22"/>
                <w:szCs w:val="22"/>
                <w:lang w:val="en-US" w:eastAsia="en-US"/>
              </w:rPr>
              <w:t>),</w:t>
            </w:r>
          </w:p>
          <w:p w14:paraId="314E3E8A"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S&amp;P 500 (</w:t>
            </w:r>
            <w:r w:rsidRPr="00854A78">
              <w:rPr>
                <w:sz w:val="22"/>
                <w:szCs w:val="22"/>
                <w:lang w:eastAsia="en-US"/>
              </w:rPr>
              <w:t>США</w:t>
            </w:r>
            <w:r w:rsidRPr="00854A78">
              <w:rPr>
                <w:sz w:val="22"/>
                <w:szCs w:val="22"/>
                <w:lang w:val="en-US" w:eastAsia="en-US"/>
              </w:rPr>
              <w:t>),</w:t>
            </w:r>
          </w:p>
          <w:p w14:paraId="21C1F2A0"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BIST 100 (</w:t>
            </w:r>
            <w:r w:rsidRPr="00854A78">
              <w:rPr>
                <w:sz w:val="22"/>
                <w:szCs w:val="22"/>
                <w:lang w:eastAsia="en-US"/>
              </w:rPr>
              <w:t>Турция</w:t>
            </w:r>
            <w:r w:rsidRPr="00854A78">
              <w:rPr>
                <w:sz w:val="22"/>
                <w:szCs w:val="22"/>
                <w:lang w:val="en-US" w:eastAsia="en-US"/>
              </w:rPr>
              <w:t>),</w:t>
            </w:r>
          </w:p>
          <w:p w14:paraId="2885AA56"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OMX Helsinki 25 (</w:t>
            </w:r>
            <w:r w:rsidRPr="00854A78">
              <w:rPr>
                <w:sz w:val="22"/>
                <w:szCs w:val="22"/>
                <w:lang w:eastAsia="en-US"/>
              </w:rPr>
              <w:t>Финляндия</w:t>
            </w:r>
            <w:r w:rsidRPr="00854A78">
              <w:rPr>
                <w:sz w:val="22"/>
                <w:szCs w:val="22"/>
                <w:lang w:val="en-US" w:eastAsia="en-US"/>
              </w:rPr>
              <w:t>),</w:t>
            </w:r>
          </w:p>
          <w:p w14:paraId="2AE4604A"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CAC 40 (Франция),</w:t>
            </w:r>
          </w:p>
          <w:p w14:paraId="164EAF75"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xml:space="preserve">- PX </w:t>
            </w:r>
            <w:proofErr w:type="spellStart"/>
            <w:r w:rsidRPr="00854A78">
              <w:rPr>
                <w:sz w:val="22"/>
                <w:szCs w:val="22"/>
                <w:lang w:eastAsia="en-US"/>
              </w:rPr>
              <w:t>Index</w:t>
            </w:r>
            <w:proofErr w:type="spellEnd"/>
            <w:r w:rsidRPr="00854A78">
              <w:rPr>
                <w:sz w:val="22"/>
                <w:szCs w:val="22"/>
                <w:lang w:eastAsia="en-US"/>
              </w:rPr>
              <w:t xml:space="preserve"> (Чешская республика),</w:t>
            </w:r>
          </w:p>
          <w:p w14:paraId="63ADD44C"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S&amp;P/CLX IPSA (</w:t>
            </w:r>
            <w:r w:rsidRPr="00854A78">
              <w:rPr>
                <w:sz w:val="22"/>
                <w:szCs w:val="22"/>
                <w:lang w:eastAsia="en-US"/>
              </w:rPr>
              <w:t>Чили</w:t>
            </w:r>
            <w:r w:rsidRPr="00854A78">
              <w:rPr>
                <w:sz w:val="22"/>
                <w:szCs w:val="22"/>
                <w:lang w:val="en-US" w:eastAsia="en-US"/>
              </w:rPr>
              <w:t>),</w:t>
            </w:r>
          </w:p>
          <w:p w14:paraId="1EB65BAD"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SMI (</w:t>
            </w:r>
            <w:r w:rsidRPr="00854A78">
              <w:rPr>
                <w:sz w:val="22"/>
                <w:szCs w:val="22"/>
                <w:lang w:eastAsia="en-US"/>
              </w:rPr>
              <w:t>Швейцария</w:t>
            </w:r>
            <w:r w:rsidRPr="00854A78">
              <w:rPr>
                <w:sz w:val="22"/>
                <w:szCs w:val="22"/>
                <w:lang w:val="en-US" w:eastAsia="en-US"/>
              </w:rPr>
              <w:t>),</w:t>
            </w:r>
          </w:p>
          <w:p w14:paraId="54E7BD2F"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OMX Stockholm 30</w:t>
            </w:r>
            <w:r w:rsidRPr="00854A78">
              <w:rPr>
                <w:rFonts w:ascii="Arial" w:hAnsi="Arial" w:cs="Arial"/>
                <w:lang w:val="en-US" w:eastAsia="en-US"/>
              </w:rPr>
              <w:t xml:space="preserve"> </w:t>
            </w:r>
            <w:r w:rsidRPr="00854A78">
              <w:rPr>
                <w:sz w:val="22"/>
                <w:szCs w:val="22"/>
                <w:lang w:val="en-US" w:eastAsia="en-US"/>
              </w:rPr>
              <w:t>(</w:t>
            </w:r>
            <w:r w:rsidRPr="00854A78">
              <w:rPr>
                <w:sz w:val="22"/>
                <w:szCs w:val="22"/>
                <w:lang w:eastAsia="en-US"/>
              </w:rPr>
              <w:t>Швеция</w:t>
            </w:r>
            <w:r w:rsidRPr="00854A78">
              <w:rPr>
                <w:sz w:val="22"/>
                <w:szCs w:val="22"/>
                <w:lang w:val="en-US" w:eastAsia="en-US"/>
              </w:rPr>
              <w:t>),</w:t>
            </w:r>
          </w:p>
          <w:p w14:paraId="59519CE6"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OMX Baltic 10 Index</w:t>
            </w:r>
            <w:r w:rsidRPr="00854A78" w:rsidDel="006C17CE">
              <w:rPr>
                <w:sz w:val="22"/>
                <w:szCs w:val="22"/>
                <w:lang w:val="en-US" w:eastAsia="en-US"/>
              </w:rPr>
              <w:t xml:space="preserve"> </w:t>
            </w:r>
            <w:r w:rsidRPr="00854A78">
              <w:rPr>
                <w:sz w:val="22"/>
                <w:szCs w:val="22"/>
                <w:lang w:val="en-US" w:eastAsia="en-US"/>
              </w:rPr>
              <w:t>_GI</w:t>
            </w:r>
            <w:r w:rsidRPr="00854A78">
              <w:rPr>
                <w:rFonts w:ascii="Arial" w:hAnsi="Arial" w:cs="Arial"/>
                <w:lang w:val="en-US" w:eastAsia="en-US"/>
              </w:rPr>
              <w:t xml:space="preserve"> </w:t>
            </w:r>
            <w:r w:rsidRPr="00854A78">
              <w:rPr>
                <w:sz w:val="22"/>
                <w:szCs w:val="22"/>
                <w:lang w:val="en-US" w:eastAsia="en-US"/>
              </w:rPr>
              <w:t>(</w:t>
            </w:r>
            <w:r w:rsidRPr="00854A78">
              <w:rPr>
                <w:sz w:val="22"/>
                <w:szCs w:val="22"/>
                <w:lang w:eastAsia="en-US"/>
              </w:rPr>
              <w:t>Эстония</w:t>
            </w:r>
            <w:r w:rsidRPr="00854A78">
              <w:rPr>
                <w:sz w:val="22"/>
                <w:szCs w:val="22"/>
                <w:lang w:val="en-US" w:eastAsia="en-US"/>
              </w:rPr>
              <w:t xml:space="preserve">, </w:t>
            </w:r>
            <w:r w:rsidRPr="00854A78">
              <w:rPr>
                <w:sz w:val="22"/>
                <w:szCs w:val="22"/>
                <w:lang w:eastAsia="en-US"/>
              </w:rPr>
              <w:t>Латвия</w:t>
            </w:r>
            <w:r w:rsidRPr="00854A78">
              <w:rPr>
                <w:sz w:val="22"/>
                <w:szCs w:val="22"/>
                <w:lang w:val="en-US" w:eastAsia="en-US"/>
              </w:rPr>
              <w:t xml:space="preserve">, </w:t>
            </w:r>
            <w:r w:rsidRPr="00854A78">
              <w:rPr>
                <w:sz w:val="22"/>
                <w:szCs w:val="22"/>
                <w:lang w:eastAsia="en-US"/>
              </w:rPr>
              <w:t>Литва</w:t>
            </w:r>
            <w:r w:rsidRPr="00854A78">
              <w:rPr>
                <w:sz w:val="22"/>
                <w:szCs w:val="22"/>
                <w:lang w:val="en-US" w:eastAsia="en-US"/>
              </w:rPr>
              <w:t>),</w:t>
            </w:r>
          </w:p>
          <w:p w14:paraId="2AFD01D1"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FTSE/JSE Top40 (</w:t>
            </w:r>
            <w:r w:rsidRPr="00854A78">
              <w:rPr>
                <w:sz w:val="22"/>
                <w:szCs w:val="22"/>
                <w:lang w:eastAsia="en-US"/>
              </w:rPr>
              <w:t>ЮАР</w:t>
            </w:r>
            <w:r w:rsidRPr="00854A78">
              <w:rPr>
                <w:sz w:val="22"/>
                <w:szCs w:val="22"/>
                <w:lang w:val="en-US" w:eastAsia="en-US"/>
              </w:rPr>
              <w:t>),</w:t>
            </w:r>
          </w:p>
          <w:p w14:paraId="473B75BC"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KOSPI 200 (</w:t>
            </w:r>
            <w:r w:rsidRPr="00854A78">
              <w:rPr>
                <w:sz w:val="22"/>
                <w:szCs w:val="22"/>
                <w:lang w:eastAsia="en-US"/>
              </w:rPr>
              <w:t>Южная</w:t>
            </w:r>
            <w:r w:rsidRPr="00854A78">
              <w:rPr>
                <w:sz w:val="22"/>
                <w:szCs w:val="22"/>
                <w:lang w:val="en-US" w:eastAsia="en-US"/>
              </w:rPr>
              <w:t xml:space="preserve"> </w:t>
            </w:r>
            <w:r w:rsidRPr="00854A78">
              <w:rPr>
                <w:sz w:val="22"/>
                <w:szCs w:val="22"/>
                <w:lang w:eastAsia="en-US"/>
              </w:rPr>
              <w:t>Корея</w:t>
            </w:r>
            <w:r w:rsidRPr="00854A78">
              <w:rPr>
                <w:sz w:val="22"/>
                <w:szCs w:val="22"/>
                <w:lang w:val="en-US" w:eastAsia="en-US"/>
              </w:rPr>
              <w:t>),</w:t>
            </w:r>
          </w:p>
          <w:p w14:paraId="4F2079B9" w14:textId="77777777" w:rsidR="00854A78" w:rsidRPr="00854A78" w:rsidRDefault="00854A78" w:rsidP="00854A78">
            <w:pPr>
              <w:autoSpaceDE/>
              <w:autoSpaceDN/>
              <w:ind w:firstLine="567"/>
              <w:jc w:val="both"/>
              <w:rPr>
                <w:sz w:val="22"/>
                <w:szCs w:val="22"/>
              </w:rPr>
            </w:pPr>
            <w:r w:rsidRPr="00854A78">
              <w:rPr>
                <w:sz w:val="22"/>
                <w:szCs w:val="22"/>
                <w:lang w:eastAsia="en-US"/>
              </w:rPr>
              <w:t xml:space="preserve">- </w:t>
            </w:r>
            <w:r w:rsidRPr="00854A78">
              <w:rPr>
                <w:sz w:val="22"/>
                <w:szCs w:val="22"/>
                <w:lang w:val="en-US" w:eastAsia="en-US"/>
              </w:rPr>
              <w:t>Nikkei</w:t>
            </w:r>
            <w:r w:rsidRPr="00854A78">
              <w:rPr>
                <w:sz w:val="22"/>
                <w:szCs w:val="22"/>
                <w:lang w:eastAsia="en-US"/>
              </w:rPr>
              <w:t xml:space="preserve"> 225 (Япония)</w:t>
            </w:r>
            <w:r w:rsidRPr="00854A78">
              <w:rPr>
                <w:sz w:val="22"/>
                <w:szCs w:val="22"/>
              </w:rPr>
              <w:t>,</w:t>
            </w:r>
          </w:p>
          <w:p w14:paraId="2BEA928A" w14:textId="77777777" w:rsidR="00854A78" w:rsidRPr="00854A78" w:rsidRDefault="00854A78" w:rsidP="00854A78">
            <w:pPr>
              <w:autoSpaceDE/>
              <w:autoSpaceDN/>
              <w:ind w:firstLine="567"/>
              <w:jc w:val="both"/>
              <w:rPr>
                <w:sz w:val="22"/>
                <w:szCs w:val="22"/>
                <w:lang w:eastAsia="en-US"/>
              </w:rPr>
            </w:pPr>
            <w:r w:rsidRPr="00854A78">
              <w:rPr>
                <w:sz w:val="22"/>
                <w:szCs w:val="22"/>
              </w:rPr>
              <w:t xml:space="preserve">- </w:t>
            </w:r>
            <w:r w:rsidRPr="00854A78">
              <w:rPr>
                <w:sz w:val="22"/>
                <w:szCs w:val="22"/>
                <w:lang w:eastAsia="en-US"/>
              </w:rPr>
              <w:t xml:space="preserve">Индекс </w:t>
            </w:r>
            <w:proofErr w:type="spellStart"/>
            <w:r w:rsidRPr="00854A78">
              <w:rPr>
                <w:sz w:val="22"/>
                <w:szCs w:val="22"/>
                <w:lang w:eastAsia="en-US"/>
              </w:rPr>
              <w:t>МосБиржи</w:t>
            </w:r>
            <w:proofErr w:type="spellEnd"/>
            <w:r w:rsidRPr="00854A78">
              <w:rPr>
                <w:sz w:val="22"/>
                <w:szCs w:val="22"/>
                <w:lang w:eastAsia="en-US"/>
              </w:rPr>
              <w:t xml:space="preserve"> голубых фишек (Россия);</w:t>
            </w:r>
          </w:p>
          <w:p w14:paraId="610473ED"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информационных технологий (Россия),</w:t>
            </w:r>
          </w:p>
          <w:p w14:paraId="02E022FE"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металлов и добычи (Россия),</w:t>
            </w:r>
          </w:p>
          <w:p w14:paraId="6BAB2038"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нефти и газа (Россия),</w:t>
            </w:r>
          </w:p>
          <w:p w14:paraId="1EFFFC29"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потребительского сектора (Россия),</w:t>
            </w:r>
          </w:p>
          <w:p w14:paraId="5D796604"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строительных компаний (Россия),</w:t>
            </w:r>
          </w:p>
          <w:p w14:paraId="154B9F57"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телекоммуникаций (Россия),</w:t>
            </w:r>
          </w:p>
          <w:p w14:paraId="112C9810"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транспорта (Россия),</w:t>
            </w:r>
          </w:p>
          <w:p w14:paraId="76D24DEA"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финансов (Россия),</w:t>
            </w:r>
          </w:p>
          <w:p w14:paraId="7D03FB5F"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химии и нефтехимии (Россия),</w:t>
            </w:r>
          </w:p>
          <w:p w14:paraId="1CCF64F9"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электроэнергетики (Россия),</w:t>
            </w:r>
          </w:p>
          <w:p w14:paraId="5B6168DD"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информационных технологий (Россия),</w:t>
            </w:r>
          </w:p>
          <w:p w14:paraId="4300E045"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металлов и добычи (Россия),</w:t>
            </w:r>
          </w:p>
          <w:p w14:paraId="13A885D2"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нефти и газа (Россия),</w:t>
            </w:r>
          </w:p>
          <w:p w14:paraId="43227918"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потребительских товаров и розничной торговли (Россия),</w:t>
            </w:r>
          </w:p>
          <w:p w14:paraId="1C8C6337"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строительных компаний (Россия),</w:t>
            </w:r>
          </w:p>
          <w:p w14:paraId="50C6F21F"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телекоммуникаций (Россия),</w:t>
            </w:r>
          </w:p>
          <w:p w14:paraId="7B43717D"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транспорта (Россия),</w:t>
            </w:r>
          </w:p>
          <w:p w14:paraId="6565CDA1"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финансов (Россия),</w:t>
            </w:r>
          </w:p>
          <w:p w14:paraId="0D8E9832"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химии и нефтехимии (Россия),</w:t>
            </w:r>
          </w:p>
          <w:p w14:paraId="32716F8F"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электроэнергетики (Россия).</w:t>
            </w:r>
          </w:p>
          <w:p w14:paraId="44D1A009" w14:textId="77777777" w:rsidR="00854A78" w:rsidRPr="00854A78" w:rsidRDefault="00854A78" w:rsidP="00854A78">
            <w:pPr>
              <w:autoSpaceDE/>
              <w:autoSpaceDN/>
              <w:ind w:firstLine="567"/>
              <w:jc w:val="both"/>
              <w:rPr>
                <w:sz w:val="22"/>
                <w:szCs w:val="22"/>
                <w:lang w:eastAsia="en-US"/>
              </w:rPr>
            </w:pPr>
          </w:p>
          <w:p w14:paraId="38F54001" w14:textId="77777777" w:rsidR="00854A78" w:rsidRPr="00854A78" w:rsidRDefault="00854A78" w:rsidP="00854A78">
            <w:pPr>
              <w:autoSpaceDE/>
              <w:autoSpaceDN/>
              <w:ind w:firstLine="567"/>
              <w:jc w:val="both"/>
              <w:rPr>
                <w:sz w:val="22"/>
                <w:szCs w:val="22"/>
              </w:rPr>
            </w:pPr>
            <w:r w:rsidRPr="00854A78">
              <w:rPr>
                <w:sz w:val="22"/>
                <w:szCs w:val="22"/>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33A52BD3" w14:textId="77777777" w:rsidR="00854A78" w:rsidRPr="00854A78" w:rsidRDefault="00854A78" w:rsidP="00854A78">
            <w:pPr>
              <w:autoSpaceDE/>
              <w:autoSpaceDN/>
              <w:ind w:firstLine="567"/>
              <w:jc w:val="both"/>
              <w:rPr>
                <w:sz w:val="22"/>
                <w:szCs w:val="22"/>
              </w:rPr>
            </w:pPr>
            <w:r w:rsidRPr="00854A78">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4F8159D6" w14:textId="77777777" w:rsidR="002E4229" w:rsidRPr="001A3794" w:rsidRDefault="002E4229" w:rsidP="001A3794">
            <w:pPr>
              <w:autoSpaceDE/>
              <w:autoSpaceDN/>
              <w:ind w:firstLine="567"/>
              <w:jc w:val="both"/>
              <w:rPr>
                <w:sz w:val="22"/>
                <w:szCs w:val="22"/>
              </w:rPr>
            </w:pPr>
          </w:p>
        </w:tc>
        <w:tc>
          <w:tcPr>
            <w:tcW w:w="4253" w:type="dxa"/>
            <w:shd w:val="clear" w:color="auto" w:fill="auto"/>
            <w:vAlign w:val="center"/>
          </w:tcPr>
          <w:p w14:paraId="4047E63F" w14:textId="77777777" w:rsidR="00854A78" w:rsidRPr="00854A78" w:rsidRDefault="00854A78" w:rsidP="00854A78">
            <w:pPr>
              <w:autoSpaceDE/>
              <w:autoSpaceDN/>
              <w:ind w:firstLine="567"/>
              <w:jc w:val="both"/>
              <w:rPr>
                <w:sz w:val="22"/>
                <w:szCs w:val="22"/>
              </w:rPr>
            </w:pPr>
            <w:r w:rsidRPr="00854A78">
              <w:rPr>
                <w:sz w:val="22"/>
                <w:szCs w:val="22"/>
              </w:rPr>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854A78">
              <w:rPr>
                <w:i/>
                <w:sz w:val="22"/>
                <w:szCs w:val="22"/>
              </w:rPr>
              <w:t>(далее – ликвидный инструмент)</w:t>
            </w:r>
            <w:r w:rsidRPr="00854A78">
              <w:rPr>
                <w:sz w:val="22"/>
                <w:szCs w:val="22"/>
              </w:rPr>
              <w:t xml:space="preserve"> в настоящих Правилах понимаются следующие инструменты:</w:t>
            </w:r>
          </w:p>
          <w:p w14:paraId="2158CCF7" w14:textId="77777777" w:rsidR="00854A78" w:rsidRPr="00854A78" w:rsidRDefault="00854A78" w:rsidP="00854A78">
            <w:pPr>
              <w:autoSpaceDE/>
              <w:autoSpaceDN/>
              <w:ind w:firstLine="567"/>
              <w:jc w:val="both"/>
              <w:rPr>
                <w:sz w:val="22"/>
                <w:szCs w:val="22"/>
              </w:rPr>
            </w:pPr>
            <w:r w:rsidRPr="00854A78">
              <w:rPr>
                <w:sz w:val="22"/>
                <w:szCs w:val="22"/>
              </w:rPr>
              <w:t>а) инструменты денежного рынка со сроком до погашения (закрытия) менее 3 (Трех) месяцев;</w:t>
            </w:r>
          </w:p>
          <w:p w14:paraId="66BBDD8B" w14:textId="77777777" w:rsidR="00854A78" w:rsidRPr="00854A78" w:rsidRDefault="00854A78" w:rsidP="00854A78">
            <w:pPr>
              <w:autoSpaceDE/>
              <w:autoSpaceDN/>
              <w:ind w:firstLine="567"/>
              <w:jc w:val="both"/>
              <w:rPr>
                <w:sz w:val="22"/>
                <w:szCs w:val="22"/>
              </w:rPr>
            </w:pPr>
            <w:r w:rsidRPr="00854A78">
              <w:rPr>
                <w:sz w:val="22"/>
                <w:szCs w:val="22"/>
              </w:rPr>
              <w:t>б) права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502F1814" w14:textId="77777777" w:rsidR="00854A78" w:rsidRPr="00854A78" w:rsidRDefault="00854A78" w:rsidP="00854A78">
            <w:pPr>
              <w:autoSpaceDE/>
              <w:autoSpaceDN/>
              <w:ind w:firstLine="567"/>
              <w:jc w:val="both"/>
              <w:rPr>
                <w:sz w:val="22"/>
                <w:szCs w:val="22"/>
              </w:rPr>
            </w:pPr>
            <w:r w:rsidRPr="00854A78">
              <w:rPr>
                <w:sz w:val="22"/>
                <w:szCs w:val="22"/>
                <w:lang w:eastAsia="en-US"/>
              </w:rPr>
              <w:t>в) инвестиционные паи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p>
          <w:p w14:paraId="39BB9766" w14:textId="77777777" w:rsidR="00854A78" w:rsidRPr="00854A78" w:rsidRDefault="00854A78" w:rsidP="00854A78">
            <w:pPr>
              <w:autoSpaceDE/>
              <w:autoSpaceDN/>
              <w:ind w:firstLine="567"/>
              <w:jc w:val="both"/>
              <w:rPr>
                <w:sz w:val="22"/>
                <w:szCs w:val="22"/>
                <w:lang w:eastAsia="en-US"/>
              </w:rPr>
            </w:pPr>
            <w:r w:rsidRPr="00854A78">
              <w:rPr>
                <w:sz w:val="22"/>
                <w:szCs w:val="22"/>
              </w:rPr>
              <w:t>г)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r w:rsidRPr="00854A78">
              <w:rPr>
                <w:sz w:val="22"/>
                <w:szCs w:val="22"/>
                <w:lang w:eastAsia="en-US"/>
              </w:rPr>
              <w:t>;</w:t>
            </w:r>
          </w:p>
          <w:p w14:paraId="6CABFF9D"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д) ценные бумаги, входящие в расчет следующих фондовых индексов:</w:t>
            </w:r>
          </w:p>
          <w:p w14:paraId="1D7A28E4"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S&amp;P/ASX 200 (Австралия),</w:t>
            </w:r>
          </w:p>
          <w:p w14:paraId="727F7A3B"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ATX (Австрия),</w:t>
            </w:r>
          </w:p>
          <w:p w14:paraId="1F812D9C"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BEL20 (Бельгия),</w:t>
            </w:r>
          </w:p>
          <w:p w14:paraId="39BF7D08"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xml:space="preserve">- </w:t>
            </w:r>
            <w:proofErr w:type="spellStart"/>
            <w:r w:rsidRPr="00854A78">
              <w:rPr>
                <w:sz w:val="22"/>
                <w:szCs w:val="22"/>
                <w:lang w:eastAsia="en-US"/>
              </w:rPr>
              <w:t>Bovespa</w:t>
            </w:r>
            <w:proofErr w:type="spellEnd"/>
            <w:r w:rsidRPr="00854A78">
              <w:rPr>
                <w:sz w:val="22"/>
                <w:szCs w:val="22"/>
                <w:lang w:eastAsia="en-US"/>
              </w:rPr>
              <w:t xml:space="preserve"> </w:t>
            </w:r>
            <w:proofErr w:type="spellStart"/>
            <w:r w:rsidRPr="00854A78">
              <w:rPr>
                <w:sz w:val="22"/>
                <w:szCs w:val="22"/>
                <w:lang w:eastAsia="en-US"/>
              </w:rPr>
              <w:t>Index</w:t>
            </w:r>
            <w:proofErr w:type="spellEnd"/>
            <w:r w:rsidRPr="00854A78">
              <w:rPr>
                <w:sz w:val="22"/>
                <w:szCs w:val="22"/>
                <w:lang w:eastAsia="en-US"/>
              </w:rPr>
              <w:t xml:space="preserve"> (Бразилия),</w:t>
            </w:r>
          </w:p>
          <w:p w14:paraId="022C8110"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xml:space="preserve">- </w:t>
            </w:r>
            <w:r w:rsidRPr="00854A78">
              <w:rPr>
                <w:sz w:val="22"/>
                <w:szCs w:val="22"/>
                <w:lang w:val="en-US" w:eastAsia="en-US"/>
              </w:rPr>
              <w:t>BUX</w:t>
            </w:r>
            <w:r w:rsidRPr="00854A78">
              <w:rPr>
                <w:sz w:val="22"/>
                <w:szCs w:val="22"/>
                <w:lang w:eastAsia="en-US"/>
              </w:rPr>
              <w:t xml:space="preserve"> (Венгрия),</w:t>
            </w:r>
          </w:p>
          <w:p w14:paraId="005FFE89"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FTSE 100 (Великобритания),</w:t>
            </w:r>
          </w:p>
          <w:p w14:paraId="7DB47854"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xml:space="preserve">- </w:t>
            </w:r>
            <w:proofErr w:type="spellStart"/>
            <w:r w:rsidRPr="00854A78">
              <w:rPr>
                <w:sz w:val="22"/>
                <w:szCs w:val="22"/>
                <w:lang w:eastAsia="en-US"/>
              </w:rPr>
              <w:t>Hang</w:t>
            </w:r>
            <w:proofErr w:type="spellEnd"/>
            <w:r w:rsidRPr="00854A78">
              <w:rPr>
                <w:sz w:val="22"/>
                <w:szCs w:val="22"/>
                <w:lang w:eastAsia="en-US"/>
              </w:rPr>
              <w:t xml:space="preserve"> </w:t>
            </w:r>
            <w:proofErr w:type="spellStart"/>
            <w:r w:rsidRPr="00854A78">
              <w:rPr>
                <w:sz w:val="22"/>
                <w:szCs w:val="22"/>
                <w:lang w:eastAsia="en-US"/>
              </w:rPr>
              <w:t>Seng</w:t>
            </w:r>
            <w:proofErr w:type="spellEnd"/>
            <w:r w:rsidRPr="00854A78">
              <w:rPr>
                <w:sz w:val="22"/>
                <w:szCs w:val="22"/>
                <w:lang w:eastAsia="en-US"/>
              </w:rPr>
              <w:t xml:space="preserve"> (Гонконг),</w:t>
            </w:r>
          </w:p>
          <w:p w14:paraId="0F7925F3"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DAX (Германия),</w:t>
            </w:r>
          </w:p>
          <w:p w14:paraId="35B1931A"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xml:space="preserve">- OMX </w:t>
            </w:r>
            <w:proofErr w:type="spellStart"/>
            <w:r w:rsidRPr="00854A78">
              <w:rPr>
                <w:sz w:val="22"/>
                <w:szCs w:val="22"/>
                <w:lang w:eastAsia="en-US"/>
              </w:rPr>
              <w:t>Copenhagen</w:t>
            </w:r>
            <w:proofErr w:type="spellEnd"/>
            <w:r w:rsidRPr="00854A78">
              <w:rPr>
                <w:sz w:val="22"/>
                <w:szCs w:val="22"/>
                <w:lang w:eastAsia="en-US"/>
              </w:rPr>
              <w:t xml:space="preserve"> 20 (Дания),</w:t>
            </w:r>
          </w:p>
          <w:p w14:paraId="78650C48"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TA-35 (</w:t>
            </w:r>
            <w:r w:rsidRPr="00854A78">
              <w:rPr>
                <w:sz w:val="22"/>
                <w:szCs w:val="22"/>
                <w:lang w:eastAsia="en-US"/>
              </w:rPr>
              <w:t>Израиль</w:t>
            </w:r>
            <w:r w:rsidRPr="00854A78">
              <w:rPr>
                <w:sz w:val="22"/>
                <w:szCs w:val="22"/>
                <w:lang w:val="en-US" w:eastAsia="en-US"/>
              </w:rPr>
              <w:t>),</w:t>
            </w:r>
          </w:p>
          <w:p w14:paraId="57951D11"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S&amp;P BSE SENSEX</w:t>
            </w:r>
            <w:r w:rsidRPr="00854A78">
              <w:rPr>
                <w:rFonts w:ascii="Arial" w:hAnsi="Arial" w:cs="Arial"/>
                <w:lang w:val="en-US" w:eastAsia="en-US"/>
              </w:rPr>
              <w:t xml:space="preserve"> </w:t>
            </w:r>
            <w:r w:rsidRPr="00854A78">
              <w:rPr>
                <w:sz w:val="22"/>
                <w:szCs w:val="22"/>
                <w:lang w:val="en-US" w:eastAsia="en-US"/>
              </w:rPr>
              <w:t>(</w:t>
            </w:r>
            <w:r w:rsidRPr="00854A78">
              <w:rPr>
                <w:sz w:val="22"/>
                <w:szCs w:val="22"/>
                <w:lang w:eastAsia="en-US"/>
              </w:rPr>
              <w:t>Индия</w:t>
            </w:r>
            <w:r w:rsidRPr="00854A78">
              <w:rPr>
                <w:sz w:val="22"/>
                <w:szCs w:val="22"/>
                <w:lang w:val="en-US" w:eastAsia="en-US"/>
              </w:rPr>
              <w:t>),</w:t>
            </w:r>
          </w:p>
          <w:p w14:paraId="0E88F935"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ISEQ 20 (</w:t>
            </w:r>
            <w:r w:rsidRPr="00854A78">
              <w:rPr>
                <w:sz w:val="22"/>
                <w:szCs w:val="22"/>
                <w:lang w:eastAsia="en-US"/>
              </w:rPr>
              <w:t>Ирландия</w:t>
            </w:r>
            <w:r w:rsidRPr="00854A78">
              <w:rPr>
                <w:sz w:val="22"/>
                <w:szCs w:val="22"/>
                <w:lang w:val="en-US" w:eastAsia="en-US"/>
              </w:rPr>
              <w:t>),</w:t>
            </w:r>
          </w:p>
          <w:p w14:paraId="37CD2C8A"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OMX Iceland 10</w:t>
            </w:r>
            <w:r w:rsidRPr="00854A78">
              <w:rPr>
                <w:lang w:val="en-US" w:eastAsia="en-US"/>
              </w:rPr>
              <w:t xml:space="preserve"> </w:t>
            </w:r>
            <w:r w:rsidRPr="00854A78">
              <w:rPr>
                <w:sz w:val="22"/>
                <w:szCs w:val="22"/>
                <w:lang w:val="en-US" w:eastAsia="en-US"/>
              </w:rPr>
              <w:t xml:space="preserve"> (</w:t>
            </w:r>
            <w:r w:rsidRPr="00854A78">
              <w:rPr>
                <w:sz w:val="22"/>
                <w:szCs w:val="22"/>
                <w:lang w:eastAsia="en-US"/>
              </w:rPr>
              <w:t>Исландия</w:t>
            </w:r>
            <w:r w:rsidRPr="00854A78">
              <w:rPr>
                <w:sz w:val="22"/>
                <w:szCs w:val="22"/>
                <w:lang w:val="en-US" w:eastAsia="en-US"/>
              </w:rPr>
              <w:t>),</w:t>
            </w:r>
          </w:p>
          <w:p w14:paraId="55326C25"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IBEX 35 (</w:t>
            </w:r>
            <w:r w:rsidRPr="00854A78">
              <w:rPr>
                <w:sz w:val="22"/>
                <w:szCs w:val="22"/>
                <w:lang w:eastAsia="en-US"/>
              </w:rPr>
              <w:t>Испания</w:t>
            </w:r>
            <w:r w:rsidRPr="00854A78">
              <w:rPr>
                <w:sz w:val="22"/>
                <w:szCs w:val="22"/>
                <w:lang w:val="en-US" w:eastAsia="en-US"/>
              </w:rPr>
              <w:t>),</w:t>
            </w:r>
          </w:p>
          <w:p w14:paraId="0A6BA242"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FTSE MIB (</w:t>
            </w:r>
            <w:r w:rsidRPr="00854A78">
              <w:rPr>
                <w:sz w:val="22"/>
                <w:szCs w:val="22"/>
                <w:lang w:eastAsia="en-US"/>
              </w:rPr>
              <w:t>Италия</w:t>
            </w:r>
            <w:r w:rsidRPr="00854A78">
              <w:rPr>
                <w:sz w:val="22"/>
                <w:szCs w:val="22"/>
                <w:lang w:val="en-US" w:eastAsia="en-US"/>
              </w:rPr>
              <w:t>),</w:t>
            </w:r>
          </w:p>
          <w:p w14:paraId="5E3C7725"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S&amp;P/TSX Composite (</w:t>
            </w:r>
            <w:r w:rsidRPr="00854A78">
              <w:rPr>
                <w:sz w:val="22"/>
                <w:szCs w:val="22"/>
                <w:lang w:eastAsia="en-US"/>
              </w:rPr>
              <w:t>Канада</w:t>
            </w:r>
            <w:r w:rsidRPr="00854A78">
              <w:rPr>
                <w:sz w:val="22"/>
                <w:szCs w:val="22"/>
                <w:lang w:val="en-US" w:eastAsia="en-US"/>
              </w:rPr>
              <w:t>),</w:t>
            </w:r>
          </w:p>
          <w:p w14:paraId="50B3B6FC"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Shanghai Shenzhen CSI 300 Index (</w:t>
            </w:r>
            <w:r w:rsidRPr="00854A78">
              <w:rPr>
                <w:sz w:val="22"/>
                <w:szCs w:val="22"/>
                <w:lang w:eastAsia="en-US"/>
              </w:rPr>
              <w:t>Китай</w:t>
            </w:r>
            <w:r w:rsidRPr="00854A78">
              <w:rPr>
                <w:sz w:val="22"/>
                <w:szCs w:val="22"/>
                <w:lang w:val="en-US" w:eastAsia="en-US"/>
              </w:rPr>
              <w:t>),</w:t>
            </w:r>
          </w:p>
          <w:p w14:paraId="197FB4A5"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xml:space="preserve">- </w:t>
            </w:r>
            <w:proofErr w:type="spellStart"/>
            <w:r w:rsidRPr="00854A78">
              <w:rPr>
                <w:sz w:val="22"/>
                <w:szCs w:val="22"/>
                <w:lang w:val="en-US" w:eastAsia="en-US"/>
              </w:rPr>
              <w:t>LuxX</w:t>
            </w:r>
            <w:proofErr w:type="spellEnd"/>
            <w:r w:rsidRPr="00854A78">
              <w:rPr>
                <w:sz w:val="22"/>
                <w:szCs w:val="22"/>
                <w:lang w:val="en-US" w:eastAsia="en-US"/>
              </w:rPr>
              <w:t xml:space="preserve"> (</w:t>
            </w:r>
            <w:r w:rsidRPr="00854A78">
              <w:rPr>
                <w:sz w:val="22"/>
                <w:szCs w:val="22"/>
                <w:lang w:eastAsia="en-US"/>
              </w:rPr>
              <w:t>Люксембург</w:t>
            </w:r>
            <w:r w:rsidRPr="00854A78">
              <w:rPr>
                <w:sz w:val="22"/>
                <w:szCs w:val="22"/>
                <w:lang w:val="en-US" w:eastAsia="en-US"/>
              </w:rPr>
              <w:t>),</w:t>
            </w:r>
          </w:p>
          <w:p w14:paraId="5341E246"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S&amp;P/BMV IPC (</w:t>
            </w:r>
            <w:r w:rsidRPr="00854A78">
              <w:rPr>
                <w:sz w:val="22"/>
                <w:szCs w:val="22"/>
                <w:lang w:eastAsia="en-US"/>
              </w:rPr>
              <w:t>Мексика</w:t>
            </w:r>
            <w:r w:rsidRPr="00854A78">
              <w:rPr>
                <w:sz w:val="22"/>
                <w:szCs w:val="22"/>
                <w:lang w:val="en-US" w:eastAsia="en-US"/>
              </w:rPr>
              <w:t>),</w:t>
            </w:r>
          </w:p>
          <w:p w14:paraId="21928A72"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AEX (</w:t>
            </w:r>
            <w:r w:rsidRPr="00854A78">
              <w:rPr>
                <w:sz w:val="22"/>
                <w:szCs w:val="22"/>
                <w:lang w:eastAsia="en-US"/>
              </w:rPr>
              <w:t>Нидерланды</w:t>
            </w:r>
            <w:r w:rsidRPr="00854A78">
              <w:rPr>
                <w:sz w:val="22"/>
                <w:szCs w:val="22"/>
                <w:lang w:val="en-US" w:eastAsia="en-US"/>
              </w:rPr>
              <w:t>),</w:t>
            </w:r>
          </w:p>
          <w:p w14:paraId="0DD60A4A"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S&amp;P/NZX 50</w:t>
            </w:r>
            <w:r w:rsidRPr="00854A78">
              <w:rPr>
                <w:b/>
                <w:lang w:val="en-US" w:eastAsia="en-US"/>
              </w:rPr>
              <w:t xml:space="preserve"> </w:t>
            </w:r>
            <w:r w:rsidRPr="00854A78">
              <w:rPr>
                <w:sz w:val="22"/>
                <w:szCs w:val="22"/>
                <w:lang w:val="en-US" w:eastAsia="en-US"/>
              </w:rPr>
              <w:t>(</w:t>
            </w:r>
            <w:r w:rsidRPr="00854A78">
              <w:rPr>
                <w:sz w:val="22"/>
                <w:szCs w:val="22"/>
                <w:lang w:eastAsia="en-US"/>
              </w:rPr>
              <w:t>Новая</w:t>
            </w:r>
            <w:r w:rsidRPr="00854A78">
              <w:rPr>
                <w:sz w:val="22"/>
                <w:szCs w:val="22"/>
                <w:lang w:val="en-US" w:eastAsia="en-US"/>
              </w:rPr>
              <w:t xml:space="preserve"> </w:t>
            </w:r>
            <w:r w:rsidRPr="00854A78">
              <w:rPr>
                <w:sz w:val="22"/>
                <w:szCs w:val="22"/>
                <w:lang w:eastAsia="en-US"/>
              </w:rPr>
              <w:t>Зеландия</w:t>
            </w:r>
            <w:r w:rsidRPr="00854A78">
              <w:rPr>
                <w:sz w:val="22"/>
                <w:szCs w:val="22"/>
                <w:lang w:val="en-US" w:eastAsia="en-US"/>
              </w:rPr>
              <w:t>),</w:t>
            </w:r>
          </w:p>
          <w:p w14:paraId="6755684F"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OBX (</w:t>
            </w:r>
            <w:r w:rsidRPr="00854A78">
              <w:rPr>
                <w:sz w:val="22"/>
                <w:szCs w:val="22"/>
                <w:lang w:eastAsia="en-US"/>
              </w:rPr>
              <w:t>Норвегия</w:t>
            </w:r>
            <w:r w:rsidRPr="00854A78">
              <w:rPr>
                <w:sz w:val="22"/>
                <w:szCs w:val="22"/>
                <w:lang w:val="en-US" w:eastAsia="en-US"/>
              </w:rPr>
              <w:t>),</w:t>
            </w:r>
          </w:p>
          <w:p w14:paraId="528F9E14"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WIG20 (</w:t>
            </w:r>
            <w:r w:rsidRPr="00854A78">
              <w:rPr>
                <w:sz w:val="22"/>
                <w:szCs w:val="22"/>
                <w:lang w:eastAsia="en-US"/>
              </w:rPr>
              <w:t>Польша</w:t>
            </w:r>
            <w:r w:rsidRPr="00854A78">
              <w:rPr>
                <w:sz w:val="22"/>
                <w:szCs w:val="22"/>
                <w:lang w:val="en-US" w:eastAsia="en-US"/>
              </w:rPr>
              <w:t>),</w:t>
            </w:r>
          </w:p>
          <w:p w14:paraId="6AB03703"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PSI 20 (</w:t>
            </w:r>
            <w:r w:rsidRPr="00854A78">
              <w:rPr>
                <w:sz w:val="22"/>
                <w:szCs w:val="22"/>
                <w:lang w:eastAsia="en-US"/>
              </w:rPr>
              <w:t>Португалия</w:t>
            </w:r>
            <w:r w:rsidRPr="00854A78">
              <w:rPr>
                <w:sz w:val="22"/>
                <w:szCs w:val="22"/>
                <w:lang w:val="en-US" w:eastAsia="en-US"/>
              </w:rPr>
              <w:t>),</w:t>
            </w:r>
          </w:p>
          <w:p w14:paraId="053B4E74"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xml:space="preserve">- Индекс </w:t>
            </w:r>
            <w:proofErr w:type="spellStart"/>
            <w:r w:rsidRPr="00854A78">
              <w:rPr>
                <w:sz w:val="22"/>
                <w:szCs w:val="22"/>
                <w:lang w:eastAsia="en-US"/>
              </w:rPr>
              <w:t>МосБиржи</w:t>
            </w:r>
            <w:proofErr w:type="spellEnd"/>
            <w:r w:rsidRPr="00854A78">
              <w:rPr>
                <w:sz w:val="22"/>
                <w:szCs w:val="22"/>
                <w:lang w:eastAsia="en-US"/>
              </w:rPr>
              <w:t xml:space="preserve"> (Россия),</w:t>
            </w:r>
          </w:p>
          <w:p w14:paraId="4F3D5BE1"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Индекс РТС (Россия),</w:t>
            </w:r>
          </w:p>
          <w:p w14:paraId="7FFAB93A"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SAX (Словакия),</w:t>
            </w:r>
          </w:p>
          <w:p w14:paraId="50A0D4E3"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xml:space="preserve">- </w:t>
            </w:r>
            <w:r w:rsidRPr="00854A78">
              <w:rPr>
                <w:sz w:val="22"/>
                <w:szCs w:val="22"/>
                <w:lang w:val="en-US" w:eastAsia="en-US"/>
              </w:rPr>
              <w:t>SBI</w:t>
            </w:r>
            <w:r w:rsidRPr="00854A78">
              <w:rPr>
                <w:sz w:val="22"/>
                <w:szCs w:val="22"/>
                <w:lang w:eastAsia="en-US"/>
              </w:rPr>
              <w:t xml:space="preserve"> </w:t>
            </w:r>
            <w:r w:rsidRPr="00854A78">
              <w:rPr>
                <w:sz w:val="22"/>
                <w:szCs w:val="22"/>
                <w:lang w:val="en-US" w:eastAsia="en-US"/>
              </w:rPr>
              <w:t>TOP</w:t>
            </w:r>
            <w:r w:rsidRPr="00854A78">
              <w:rPr>
                <w:sz w:val="22"/>
                <w:szCs w:val="22"/>
                <w:lang w:eastAsia="en-US"/>
              </w:rPr>
              <w:t xml:space="preserve"> (Словения),</w:t>
            </w:r>
          </w:p>
          <w:p w14:paraId="4513FB2E"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Dow Jones (</w:t>
            </w:r>
            <w:r w:rsidRPr="00854A78">
              <w:rPr>
                <w:sz w:val="22"/>
                <w:szCs w:val="22"/>
                <w:lang w:eastAsia="en-US"/>
              </w:rPr>
              <w:t>США</w:t>
            </w:r>
            <w:r w:rsidRPr="00854A78">
              <w:rPr>
                <w:sz w:val="22"/>
                <w:szCs w:val="22"/>
                <w:lang w:val="en-US" w:eastAsia="en-US"/>
              </w:rPr>
              <w:t>),</w:t>
            </w:r>
          </w:p>
          <w:p w14:paraId="2A97F113"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S&amp;P 500 (</w:t>
            </w:r>
            <w:r w:rsidRPr="00854A78">
              <w:rPr>
                <w:sz w:val="22"/>
                <w:szCs w:val="22"/>
                <w:lang w:eastAsia="en-US"/>
              </w:rPr>
              <w:t>США</w:t>
            </w:r>
            <w:r w:rsidRPr="00854A78">
              <w:rPr>
                <w:sz w:val="22"/>
                <w:szCs w:val="22"/>
                <w:lang w:val="en-US" w:eastAsia="en-US"/>
              </w:rPr>
              <w:t>),</w:t>
            </w:r>
          </w:p>
          <w:p w14:paraId="220825D1"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BIST 100 (</w:t>
            </w:r>
            <w:r w:rsidRPr="00854A78">
              <w:rPr>
                <w:sz w:val="22"/>
                <w:szCs w:val="22"/>
                <w:lang w:eastAsia="en-US"/>
              </w:rPr>
              <w:t>Турция</w:t>
            </w:r>
            <w:r w:rsidRPr="00854A78">
              <w:rPr>
                <w:sz w:val="22"/>
                <w:szCs w:val="22"/>
                <w:lang w:val="en-US" w:eastAsia="en-US"/>
              </w:rPr>
              <w:t>),</w:t>
            </w:r>
          </w:p>
          <w:p w14:paraId="2D9F9A72"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OMX Helsinki 25 (</w:t>
            </w:r>
            <w:r w:rsidRPr="00854A78">
              <w:rPr>
                <w:sz w:val="22"/>
                <w:szCs w:val="22"/>
                <w:lang w:eastAsia="en-US"/>
              </w:rPr>
              <w:t>Финляндия</w:t>
            </w:r>
            <w:r w:rsidRPr="00854A78">
              <w:rPr>
                <w:sz w:val="22"/>
                <w:szCs w:val="22"/>
                <w:lang w:val="en-US" w:eastAsia="en-US"/>
              </w:rPr>
              <w:t>),</w:t>
            </w:r>
          </w:p>
          <w:p w14:paraId="5EF4C0E2"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CAC 40 (Франция),</w:t>
            </w:r>
          </w:p>
          <w:p w14:paraId="6E988427" w14:textId="77777777" w:rsidR="00854A78" w:rsidRPr="00854A78" w:rsidRDefault="00854A78" w:rsidP="00854A78">
            <w:pPr>
              <w:autoSpaceDE/>
              <w:autoSpaceDN/>
              <w:ind w:firstLine="567"/>
              <w:jc w:val="both"/>
              <w:rPr>
                <w:sz w:val="22"/>
                <w:szCs w:val="22"/>
                <w:lang w:eastAsia="en-US"/>
              </w:rPr>
            </w:pPr>
            <w:r w:rsidRPr="00854A78">
              <w:rPr>
                <w:sz w:val="22"/>
                <w:szCs w:val="22"/>
                <w:lang w:eastAsia="en-US"/>
              </w:rPr>
              <w:t xml:space="preserve">- PX </w:t>
            </w:r>
            <w:proofErr w:type="spellStart"/>
            <w:r w:rsidRPr="00854A78">
              <w:rPr>
                <w:sz w:val="22"/>
                <w:szCs w:val="22"/>
                <w:lang w:eastAsia="en-US"/>
              </w:rPr>
              <w:t>Index</w:t>
            </w:r>
            <w:proofErr w:type="spellEnd"/>
            <w:r w:rsidRPr="00854A78">
              <w:rPr>
                <w:sz w:val="22"/>
                <w:szCs w:val="22"/>
                <w:lang w:eastAsia="en-US"/>
              </w:rPr>
              <w:t xml:space="preserve"> (Чешская республика),</w:t>
            </w:r>
          </w:p>
          <w:p w14:paraId="6C12B524"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S&amp;P/CLX IPSA (</w:t>
            </w:r>
            <w:r w:rsidRPr="00854A78">
              <w:rPr>
                <w:sz w:val="22"/>
                <w:szCs w:val="22"/>
                <w:lang w:eastAsia="en-US"/>
              </w:rPr>
              <w:t>Чили</w:t>
            </w:r>
            <w:r w:rsidRPr="00854A78">
              <w:rPr>
                <w:sz w:val="22"/>
                <w:szCs w:val="22"/>
                <w:lang w:val="en-US" w:eastAsia="en-US"/>
              </w:rPr>
              <w:t>),</w:t>
            </w:r>
          </w:p>
          <w:p w14:paraId="24BC125A"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SMI (</w:t>
            </w:r>
            <w:r w:rsidRPr="00854A78">
              <w:rPr>
                <w:sz w:val="22"/>
                <w:szCs w:val="22"/>
                <w:lang w:eastAsia="en-US"/>
              </w:rPr>
              <w:t>Швейцария</w:t>
            </w:r>
            <w:r w:rsidRPr="00854A78">
              <w:rPr>
                <w:sz w:val="22"/>
                <w:szCs w:val="22"/>
                <w:lang w:val="en-US" w:eastAsia="en-US"/>
              </w:rPr>
              <w:t>),</w:t>
            </w:r>
          </w:p>
          <w:p w14:paraId="5E18CC4D"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OMX Stockholm 30</w:t>
            </w:r>
            <w:r w:rsidRPr="00854A78">
              <w:rPr>
                <w:rFonts w:ascii="Arial" w:hAnsi="Arial" w:cs="Arial"/>
                <w:lang w:val="en-US" w:eastAsia="en-US"/>
              </w:rPr>
              <w:t xml:space="preserve"> </w:t>
            </w:r>
            <w:r w:rsidRPr="00854A78">
              <w:rPr>
                <w:sz w:val="22"/>
                <w:szCs w:val="22"/>
                <w:lang w:val="en-US" w:eastAsia="en-US"/>
              </w:rPr>
              <w:t>(</w:t>
            </w:r>
            <w:r w:rsidRPr="00854A78">
              <w:rPr>
                <w:sz w:val="22"/>
                <w:szCs w:val="22"/>
                <w:lang w:eastAsia="en-US"/>
              </w:rPr>
              <w:t>Швеция</w:t>
            </w:r>
            <w:r w:rsidRPr="00854A78">
              <w:rPr>
                <w:sz w:val="22"/>
                <w:szCs w:val="22"/>
                <w:lang w:val="en-US" w:eastAsia="en-US"/>
              </w:rPr>
              <w:t>),</w:t>
            </w:r>
          </w:p>
          <w:p w14:paraId="78629C5B"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xml:space="preserve">- </w:t>
            </w:r>
            <w:r w:rsidRPr="008458DF">
              <w:rPr>
                <w:sz w:val="22"/>
                <w:szCs w:val="22"/>
                <w:lang w:val="en-US" w:eastAsia="en-US"/>
              </w:rPr>
              <w:t>OMX Baltic 10 Index</w:t>
            </w:r>
            <w:r w:rsidRPr="008458DF" w:rsidDel="006C17CE">
              <w:rPr>
                <w:sz w:val="22"/>
                <w:szCs w:val="22"/>
                <w:lang w:val="en-US" w:eastAsia="en-US"/>
              </w:rPr>
              <w:t xml:space="preserve"> </w:t>
            </w:r>
            <w:r w:rsidRPr="008458DF">
              <w:rPr>
                <w:sz w:val="22"/>
                <w:szCs w:val="22"/>
                <w:lang w:val="en-US" w:eastAsia="en-US"/>
              </w:rPr>
              <w:t>(</w:t>
            </w:r>
            <w:r w:rsidRPr="008458DF">
              <w:rPr>
                <w:sz w:val="22"/>
                <w:szCs w:val="22"/>
                <w:lang w:eastAsia="en-US"/>
              </w:rPr>
              <w:t>Эстония</w:t>
            </w:r>
            <w:r w:rsidRPr="008458DF">
              <w:rPr>
                <w:sz w:val="22"/>
                <w:szCs w:val="22"/>
                <w:lang w:val="en-US" w:eastAsia="en-US"/>
              </w:rPr>
              <w:t xml:space="preserve">, </w:t>
            </w:r>
            <w:r w:rsidRPr="008458DF">
              <w:rPr>
                <w:sz w:val="22"/>
                <w:szCs w:val="22"/>
                <w:lang w:eastAsia="en-US"/>
              </w:rPr>
              <w:t>Латвия</w:t>
            </w:r>
            <w:r w:rsidRPr="008458DF">
              <w:rPr>
                <w:sz w:val="22"/>
                <w:szCs w:val="22"/>
                <w:lang w:val="en-US" w:eastAsia="en-US"/>
              </w:rPr>
              <w:t xml:space="preserve">, </w:t>
            </w:r>
            <w:r w:rsidRPr="008458DF">
              <w:rPr>
                <w:sz w:val="22"/>
                <w:szCs w:val="22"/>
                <w:lang w:eastAsia="en-US"/>
              </w:rPr>
              <w:t>Литва</w:t>
            </w:r>
            <w:r w:rsidRPr="008458DF">
              <w:rPr>
                <w:sz w:val="22"/>
                <w:szCs w:val="22"/>
                <w:lang w:val="en-US" w:eastAsia="en-US"/>
              </w:rPr>
              <w:t>),</w:t>
            </w:r>
          </w:p>
          <w:p w14:paraId="7A154EF5"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FTSE/JSE Top40 (</w:t>
            </w:r>
            <w:r w:rsidRPr="00854A78">
              <w:rPr>
                <w:sz w:val="22"/>
                <w:szCs w:val="22"/>
                <w:lang w:eastAsia="en-US"/>
              </w:rPr>
              <w:t>ЮАР</w:t>
            </w:r>
            <w:r w:rsidRPr="00854A78">
              <w:rPr>
                <w:sz w:val="22"/>
                <w:szCs w:val="22"/>
                <w:lang w:val="en-US" w:eastAsia="en-US"/>
              </w:rPr>
              <w:t>),</w:t>
            </w:r>
          </w:p>
          <w:p w14:paraId="1E830F9B" w14:textId="77777777" w:rsidR="00854A78" w:rsidRPr="00854A78" w:rsidRDefault="00854A78" w:rsidP="00854A78">
            <w:pPr>
              <w:autoSpaceDE/>
              <w:autoSpaceDN/>
              <w:ind w:firstLine="567"/>
              <w:jc w:val="both"/>
              <w:rPr>
                <w:sz w:val="22"/>
                <w:szCs w:val="22"/>
                <w:lang w:val="en-US" w:eastAsia="en-US"/>
              </w:rPr>
            </w:pPr>
            <w:r w:rsidRPr="00854A78">
              <w:rPr>
                <w:sz w:val="22"/>
                <w:szCs w:val="22"/>
                <w:lang w:val="en-US" w:eastAsia="en-US"/>
              </w:rPr>
              <w:t>- KOSPI 200 (</w:t>
            </w:r>
            <w:r w:rsidRPr="00854A78">
              <w:rPr>
                <w:sz w:val="22"/>
                <w:szCs w:val="22"/>
                <w:lang w:eastAsia="en-US"/>
              </w:rPr>
              <w:t>Южная</w:t>
            </w:r>
            <w:r w:rsidRPr="00854A78">
              <w:rPr>
                <w:sz w:val="22"/>
                <w:szCs w:val="22"/>
                <w:lang w:val="en-US" w:eastAsia="en-US"/>
              </w:rPr>
              <w:t xml:space="preserve"> </w:t>
            </w:r>
            <w:r w:rsidRPr="00854A78">
              <w:rPr>
                <w:sz w:val="22"/>
                <w:szCs w:val="22"/>
                <w:lang w:eastAsia="en-US"/>
              </w:rPr>
              <w:t>Корея</w:t>
            </w:r>
            <w:r w:rsidRPr="00854A78">
              <w:rPr>
                <w:sz w:val="22"/>
                <w:szCs w:val="22"/>
                <w:lang w:val="en-US" w:eastAsia="en-US"/>
              </w:rPr>
              <w:t>),</w:t>
            </w:r>
          </w:p>
          <w:p w14:paraId="24FA77DD" w14:textId="77777777" w:rsidR="00854A78" w:rsidRPr="00854A78" w:rsidRDefault="00854A78" w:rsidP="00854A78">
            <w:pPr>
              <w:autoSpaceDE/>
              <w:autoSpaceDN/>
              <w:ind w:firstLine="567"/>
              <w:jc w:val="both"/>
              <w:rPr>
                <w:sz w:val="22"/>
                <w:szCs w:val="22"/>
              </w:rPr>
            </w:pPr>
            <w:r w:rsidRPr="00854A78">
              <w:rPr>
                <w:sz w:val="22"/>
                <w:szCs w:val="22"/>
                <w:lang w:eastAsia="en-US"/>
              </w:rPr>
              <w:t xml:space="preserve">- </w:t>
            </w:r>
            <w:r w:rsidRPr="00854A78">
              <w:rPr>
                <w:sz w:val="22"/>
                <w:szCs w:val="22"/>
                <w:lang w:val="en-US" w:eastAsia="en-US"/>
              </w:rPr>
              <w:t>Nikkei</w:t>
            </w:r>
            <w:r w:rsidRPr="00854A78">
              <w:rPr>
                <w:sz w:val="22"/>
                <w:szCs w:val="22"/>
                <w:lang w:eastAsia="en-US"/>
              </w:rPr>
              <w:t xml:space="preserve"> 225 (Япония)</w:t>
            </w:r>
            <w:r w:rsidRPr="00854A78">
              <w:rPr>
                <w:sz w:val="22"/>
                <w:szCs w:val="22"/>
              </w:rPr>
              <w:t>,</w:t>
            </w:r>
          </w:p>
          <w:p w14:paraId="37D528DC" w14:textId="77777777" w:rsidR="00854A78" w:rsidRPr="00854A78" w:rsidRDefault="00854A78" w:rsidP="00854A78">
            <w:pPr>
              <w:autoSpaceDE/>
              <w:autoSpaceDN/>
              <w:ind w:firstLine="567"/>
              <w:jc w:val="both"/>
              <w:rPr>
                <w:sz w:val="22"/>
                <w:szCs w:val="22"/>
                <w:lang w:eastAsia="en-US"/>
              </w:rPr>
            </w:pPr>
            <w:r w:rsidRPr="00854A78">
              <w:rPr>
                <w:sz w:val="22"/>
                <w:szCs w:val="22"/>
              </w:rPr>
              <w:t xml:space="preserve">- </w:t>
            </w:r>
            <w:r w:rsidRPr="00854A78">
              <w:rPr>
                <w:sz w:val="22"/>
                <w:szCs w:val="22"/>
                <w:lang w:eastAsia="en-US"/>
              </w:rPr>
              <w:t xml:space="preserve">Индекс </w:t>
            </w:r>
            <w:proofErr w:type="spellStart"/>
            <w:r w:rsidRPr="00854A78">
              <w:rPr>
                <w:sz w:val="22"/>
                <w:szCs w:val="22"/>
                <w:lang w:eastAsia="en-US"/>
              </w:rPr>
              <w:t>МосБиржи</w:t>
            </w:r>
            <w:proofErr w:type="spellEnd"/>
            <w:r w:rsidRPr="00854A78">
              <w:rPr>
                <w:sz w:val="22"/>
                <w:szCs w:val="22"/>
                <w:lang w:eastAsia="en-US"/>
              </w:rPr>
              <w:t xml:space="preserve"> голубых фишек (Россия);</w:t>
            </w:r>
          </w:p>
          <w:p w14:paraId="078D5605"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информационных технологий (Россия),</w:t>
            </w:r>
          </w:p>
          <w:p w14:paraId="5429A5FA"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металлов и добычи (Россия),</w:t>
            </w:r>
          </w:p>
          <w:p w14:paraId="5CD14F72"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нефти и газа (Россия),</w:t>
            </w:r>
          </w:p>
          <w:p w14:paraId="64E1AA45"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потребительского сектора (Россия),</w:t>
            </w:r>
          </w:p>
          <w:p w14:paraId="404DFB73"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строительных компаний (Россия),</w:t>
            </w:r>
          </w:p>
          <w:p w14:paraId="0AB43137"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телекоммуникаций (Россия),</w:t>
            </w:r>
          </w:p>
          <w:p w14:paraId="3DD0B491"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транспорта (Россия),</w:t>
            </w:r>
          </w:p>
          <w:p w14:paraId="0AABF140"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финансов (Россия),</w:t>
            </w:r>
          </w:p>
          <w:p w14:paraId="0152DE2C"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химии и нефтехимии (Россия),</w:t>
            </w:r>
          </w:p>
          <w:p w14:paraId="6322011E" w14:textId="77777777" w:rsidR="00854A78" w:rsidRPr="00854A78" w:rsidRDefault="00854A78" w:rsidP="00854A78">
            <w:pPr>
              <w:autoSpaceDE/>
              <w:autoSpaceDN/>
              <w:ind w:firstLine="567"/>
              <w:jc w:val="both"/>
              <w:rPr>
                <w:sz w:val="22"/>
                <w:szCs w:val="22"/>
              </w:rPr>
            </w:pPr>
            <w:r w:rsidRPr="00854A78">
              <w:rPr>
                <w:sz w:val="22"/>
                <w:szCs w:val="22"/>
              </w:rPr>
              <w:t xml:space="preserve"> - Индекс </w:t>
            </w:r>
            <w:proofErr w:type="spellStart"/>
            <w:r w:rsidRPr="00854A78">
              <w:rPr>
                <w:sz w:val="22"/>
                <w:szCs w:val="22"/>
              </w:rPr>
              <w:t>МосБиржи</w:t>
            </w:r>
            <w:proofErr w:type="spellEnd"/>
            <w:r w:rsidRPr="00854A78">
              <w:rPr>
                <w:sz w:val="22"/>
                <w:szCs w:val="22"/>
              </w:rPr>
              <w:t xml:space="preserve"> электроэнергетики (Россия),</w:t>
            </w:r>
          </w:p>
          <w:p w14:paraId="2A91D283"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информационных технологий (Россия),</w:t>
            </w:r>
          </w:p>
          <w:p w14:paraId="3745BF23"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металлов и добычи (Россия),</w:t>
            </w:r>
          </w:p>
          <w:p w14:paraId="09C26980"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нефти и газа (Россия),</w:t>
            </w:r>
          </w:p>
          <w:p w14:paraId="0256076E"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потребительских товаров и розничной торговли (Россия),</w:t>
            </w:r>
          </w:p>
          <w:p w14:paraId="3967B5B8"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строительных компаний (Россия),</w:t>
            </w:r>
          </w:p>
          <w:p w14:paraId="5AB31482"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телекоммуникаций (Россия),</w:t>
            </w:r>
          </w:p>
          <w:p w14:paraId="2326A6B4"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транспорта (Россия),</w:t>
            </w:r>
          </w:p>
          <w:p w14:paraId="1CD61B50"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финансов (Россия),</w:t>
            </w:r>
          </w:p>
          <w:p w14:paraId="5CE29052"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химии и нефтехимии (Россия),</w:t>
            </w:r>
          </w:p>
          <w:p w14:paraId="7AC785D5" w14:textId="77777777" w:rsidR="00854A78" w:rsidRPr="00854A78" w:rsidRDefault="00854A78" w:rsidP="00854A78">
            <w:pPr>
              <w:autoSpaceDE/>
              <w:autoSpaceDN/>
              <w:ind w:firstLine="567"/>
              <w:jc w:val="both"/>
              <w:rPr>
                <w:sz w:val="22"/>
                <w:szCs w:val="22"/>
              </w:rPr>
            </w:pPr>
            <w:r w:rsidRPr="00854A78">
              <w:rPr>
                <w:sz w:val="22"/>
                <w:szCs w:val="22"/>
              </w:rPr>
              <w:t xml:space="preserve"> - Индекс РТС электроэнергетики (Россия),</w:t>
            </w:r>
          </w:p>
          <w:p w14:paraId="536639BC" w14:textId="77777777" w:rsidR="00854A78" w:rsidRPr="008458DF" w:rsidRDefault="00854A78" w:rsidP="00854A78">
            <w:pPr>
              <w:autoSpaceDE/>
              <w:autoSpaceDN/>
              <w:ind w:firstLine="567"/>
              <w:jc w:val="both"/>
              <w:rPr>
                <w:sz w:val="22"/>
                <w:szCs w:val="22"/>
              </w:rPr>
            </w:pPr>
            <w:r w:rsidRPr="008458DF">
              <w:rPr>
                <w:sz w:val="22"/>
                <w:szCs w:val="22"/>
              </w:rPr>
              <w:t xml:space="preserve">- </w:t>
            </w:r>
            <w:r w:rsidRPr="008458DF">
              <w:rPr>
                <w:sz w:val="22"/>
                <w:szCs w:val="22"/>
                <w:lang w:val="en-US"/>
              </w:rPr>
              <w:t>NIFTY</w:t>
            </w:r>
            <w:r w:rsidRPr="008458DF">
              <w:rPr>
                <w:sz w:val="22"/>
                <w:szCs w:val="22"/>
              </w:rPr>
              <w:t xml:space="preserve"> 50 (Индия).</w:t>
            </w:r>
          </w:p>
          <w:p w14:paraId="13C1B6CB" w14:textId="77777777" w:rsidR="00854A78" w:rsidRPr="00854A78" w:rsidRDefault="00854A78" w:rsidP="00854A78">
            <w:pPr>
              <w:autoSpaceDE/>
              <w:autoSpaceDN/>
              <w:ind w:firstLine="567"/>
              <w:jc w:val="both"/>
              <w:rPr>
                <w:sz w:val="22"/>
                <w:szCs w:val="22"/>
                <w:lang w:eastAsia="en-US"/>
              </w:rPr>
            </w:pPr>
          </w:p>
          <w:p w14:paraId="098E46E4" w14:textId="77777777" w:rsidR="00854A78" w:rsidRPr="008458DF" w:rsidRDefault="00854A78" w:rsidP="00854A78">
            <w:pPr>
              <w:autoSpaceDE/>
              <w:autoSpaceDN/>
              <w:ind w:firstLine="567"/>
              <w:jc w:val="both"/>
              <w:rPr>
                <w:sz w:val="22"/>
                <w:szCs w:val="22"/>
              </w:rPr>
            </w:pPr>
            <w:r w:rsidRPr="00854A78">
              <w:rPr>
                <w:sz w:val="22"/>
                <w:szCs w:val="22"/>
              </w:rPr>
              <w:t xml:space="preserve">Для целей настоящего пункта не учитываются </w:t>
            </w:r>
            <w:r w:rsidRPr="008458DF">
              <w:rPr>
                <w:sz w:val="22"/>
                <w:szCs w:val="22"/>
              </w:rPr>
              <w:t>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30604AC6" w14:textId="164755F0" w:rsidR="002E4229" w:rsidRPr="00E918B8" w:rsidRDefault="00854A78" w:rsidP="008458DF">
            <w:pPr>
              <w:autoSpaceDE/>
              <w:autoSpaceDN/>
              <w:ind w:firstLine="567"/>
              <w:jc w:val="both"/>
              <w:rPr>
                <w:sz w:val="22"/>
                <w:szCs w:val="22"/>
              </w:rPr>
            </w:pPr>
            <w:r w:rsidRPr="00854A78">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r>
      <w:tr w:rsidR="00205BE4" w:rsidRPr="00ED14F1" w14:paraId="70EEB7AC" w14:textId="77777777" w:rsidTr="00027326">
        <w:trPr>
          <w:trHeight w:val="537"/>
        </w:trPr>
        <w:tc>
          <w:tcPr>
            <w:tcW w:w="568" w:type="dxa"/>
            <w:shd w:val="clear" w:color="auto" w:fill="auto"/>
          </w:tcPr>
          <w:p w14:paraId="0A20981B" w14:textId="5AE0F9BE" w:rsidR="00205BE4" w:rsidRDefault="00B25FCF" w:rsidP="00576992">
            <w:pPr>
              <w:pStyle w:val="prg3"/>
              <w:numPr>
                <w:ilvl w:val="0"/>
                <w:numId w:val="0"/>
              </w:numPr>
              <w:spacing w:line="280" w:lineRule="exact"/>
              <w:jc w:val="center"/>
              <w:rPr>
                <w:rFonts w:ascii="Times New Roman" w:hAnsi="Times New Roman" w:cs="Times New Roman"/>
                <w:kern w:val="0"/>
                <w:lang w:val="en-US"/>
              </w:rPr>
            </w:pPr>
            <w:r>
              <w:rPr>
                <w:rFonts w:ascii="Times New Roman" w:hAnsi="Times New Roman" w:cs="Times New Roman"/>
                <w:kern w:val="0"/>
                <w:lang w:val="en-US"/>
              </w:rPr>
              <w:t>8</w:t>
            </w:r>
          </w:p>
        </w:tc>
        <w:tc>
          <w:tcPr>
            <w:tcW w:w="1076" w:type="dxa"/>
            <w:shd w:val="clear" w:color="auto" w:fill="auto"/>
          </w:tcPr>
          <w:p w14:paraId="1F7808E5" w14:textId="41639E70" w:rsidR="00205BE4" w:rsidRDefault="00205BE4" w:rsidP="00576992">
            <w:pPr>
              <w:autoSpaceDE/>
              <w:autoSpaceDN/>
              <w:jc w:val="center"/>
              <w:rPr>
                <w:lang w:val="en-US"/>
              </w:rPr>
            </w:pPr>
            <w:r>
              <w:rPr>
                <w:lang w:val="en-US"/>
              </w:rPr>
              <w:t>22.6.</w:t>
            </w:r>
          </w:p>
        </w:tc>
        <w:tc>
          <w:tcPr>
            <w:tcW w:w="4170" w:type="dxa"/>
            <w:shd w:val="clear" w:color="auto" w:fill="auto"/>
            <w:vAlign w:val="center"/>
          </w:tcPr>
          <w:p w14:paraId="086B73C0" w14:textId="40374907" w:rsidR="00654487" w:rsidRPr="00654487" w:rsidRDefault="00654487" w:rsidP="00654487">
            <w:pPr>
              <w:shd w:val="clear" w:color="auto" w:fill="FFFFFF"/>
              <w:autoSpaceDE/>
              <w:autoSpaceDN/>
              <w:spacing w:before="60" w:after="60"/>
              <w:jc w:val="both"/>
              <w:rPr>
                <w:sz w:val="22"/>
                <w:szCs w:val="22"/>
                <w:lang w:eastAsia="en-US"/>
              </w:rPr>
            </w:pPr>
            <w:r w:rsidRPr="00654487">
              <w:rPr>
                <w:sz w:val="22"/>
                <w:szCs w:val="22"/>
                <w:lang w:eastAsia="en-US"/>
              </w:rPr>
              <w:t xml:space="preserve">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w:t>
            </w:r>
            <w:r w:rsidRPr="00654487">
              <w:rPr>
                <w:sz w:val="22"/>
                <w:szCs w:val="22"/>
              </w:rPr>
              <w:t>предусмотренный пунктом 4 статьи 51.1 Федерального закона от 22 апреля 1996 года № 39-ФЗ «О рынке ценных бумаг»</w:t>
            </w:r>
            <w:r w:rsidRPr="00654487">
              <w:t>.</w:t>
            </w:r>
          </w:p>
          <w:p w14:paraId="1D443570" w14:textId="77777777" w:rsidR="00654487" w:rsidRPr="00654487" w:rsidRDefault="00654487" w:rsidP="00654487">
            <w:pPr>
              <w:shd w:val="clear" w:color="auto" w:fill="FFFFFF"/>
              <w:autoSpaceDE/>
              <w:autoSpaceDN/>
              <w:spacing w:before="60" w:after="60"/>
              <w:jc w:val="both"/>
              <w:rPr>
                <w:sz w:val="22"/>
                <w:szCs w:val="22"/>
                <w:lang w:eastAsia="en-US"/>
              </w:rPr>
            </w:pPr>
            <w:r w:rsidRPr="00654487">
              <w:rPr>
                <w:sz w:val="22"/>
                <w:szCs w:val="22"/>
                <w:lang w:eastAsia="en-US"/>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14:paraId="5AF9FECC" w14:textId="77777777" w:rsidR="00205BE4" w:rsidRPr="002E4229" w:rsidRDefault="00205BE4" w:rsidP="002E4229">
            <w:pPr>
              <w:shd w:val="clear" w:color="auto" w:fill="FFFFFF"/>
              <w:autoSpaceDE/>
              <w:autoSpaceDN/>
              <w:spacing w:before="60" w:after="60"/>
              <w:ind w:firstLine="720"/>
              <w:jc w:val="both"/>
              <w:rPr>
                <w:sz w:val="22"/>
                <w:szCs w:val="22"/>
                <w:lang w:eastAsia="en-US"/>
              </w:rPr>
            </w:pPr>
          </w:p>
        </w:tc>
        <w:tc>
          <w:tcPr>
            <w:tcW w:w="4253" w:type="dxa"/>
            <w:shd w:val="clear" w:color="auto" w:fill="auto"/>
            <w:vAlign w:val="center"/>
          </w:tcPr>
          <w:p w14:paraId="7E303CFA" w14:textId="77777777" w:rsidR="00205BE4" w:rsidRPr="00205BE4" w:rsidRDefault="00205BE4" w:rsidP="00205BE4">
            <w:pPr>
              <w:shd w:val="clear" w:color="auto" w:fill="FFFFFF"/>
              <w:autoSpaceDE/>
              <w:autoSpaceDN/>
              <w:spacing w:before="60" w:after="60"/>
              <w:ind w:firstLine="720"/>
              <w:jc w:val="both"/>
              <w:rPr>
                <w:sz w:val="22"/>
                <w:szCs w:val="22"/>
                <w:lang w:eastAsia="en-US"/>
              </w:rPr>
            </w:pPr>
            <w:r w:rsidRPr="00205BE4">
              <w:rPr>
                <w:sz w:val="22"/>
                <w:szCs w:val="22"/>
                <w:lang w:eastAsia="en-US"/>
              </w:rPr>
              <w:t xml:space="preserve">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w:t>
            </w:r>
            <w:r w:rsidRPr="00205BE4">
              <w:rPr>
                <w:sz w:val="22"/>
                <w:szCs w:val="22"/>
              </w:rPr>
              <w:t>предусмотренный пунктом 4 статьи 51.1 Федерального закона от 22 апреля 1996 года № 39-ФЗ «О рынке ценных бумаг»</w:t>
            </w:r>
            <w:r w:rsidRPr="00205BE4">
              <w:t>.</w:t>
            </w:r>
          </w:p>
          <w:p w14:paraId="43B0CE7F" w14:textId="3BB5AD2A" w:rsidR="00205BE4" w:rsidRPr="00594B99" w:rsidRDefault="00205BE4" w:rsidP="00205BE4">
            <w:pPr>
              <w:shd w:val="clear" w:color="auto" w:fill="FFFFFF"/>
              <w:autoSpaceDE/>
              <w:autoSpaceDN/>
              <w:spacing w:before="60" w:after="60"/>
              <w:jc w:val="both"/>
              <w:rPr>
                <w:sz w:val="22"/>
                <w:szCs w:val="22"/>
                <w:lang w:eastAsia="en-US"/>
              </w:rPr>
            </w:pPr>
            <w:r w:rsidRPr="00205BE4">
              <w:rPr>
                <w:sz w:val="22"/>
                <w:szCs w:val="22"/>
                <w:lang w:eastAsia="en-US"/>
              </w:rPr>
              <w:t xml:space="preserve">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 а также </w:t>
            </w:r>
            <w:r w:rsidRPr="00205BE4">
              <w:rPr>
                <w:sz w:val="22"/>
                <w:szCs w:val="22"/>
              </w:rPr>
              <w:t>облигации ТС и САЭ</w:t>
            </w:r>
            <w:r w:rsidRPr="00205BE4">
              <w:rPr>
                <w:sz w:val="22"/>
                <w:szCs w:val="22"/>
                <w:lang w:eastAsia="en-US"/>
              </w:rPr>
              <w:t>.</w:t>
            </w:r>
          </w:p>
        </w:tc>
      </w:tr>
      <w:tr w:rsidR="006257C8" w:rsidRPr="00ED14F1" w14:paraId="31C8D7CE" w14:textId="77777777" w:rsidTr="00027326">
        <w:trPr>
          <w:trHeight w:val="537"/>
        </w:trPr>
        <w:tc>
          <w:tcPr>
            <w:tcW w:w="568" w:type="dxa"/>
            <w:shd w:val="clear" w:color="auto" w:fill="auto"/>
          </w:tcPr>
          <w:p w14:paraId="316614E2" w14:textId="536CBE47" w:rsidR="006257C8" w:rsidRDefault="00343FE0"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9</w:t>
            </w:r>
          </w:p>
        </w:tc>
        <w:tc>
          <w:tcPr>
            <w:tcW w:w="1076" w:type="dxa"/>
            <w:shd w:val="clear" w:color="auto" w:fill="auto"/>
          </w:tcPr>
          <w:p w14:paraId="343BF92B" w14:textId="01B1B464" w:rsidR="006257C8" w:rsidRPr="006257C8" w:rsidRDefault="006257C8" w:rsidP="00576992">
            <w:pPr>
              <w:autoSpaceDE/>
              <w:autoSpaceDN/>
              <w:jc w:val="center"/>
            </w:pPr>
            <w:r>
              <w:t>22.8.</w:t>
            </w:r>
          </w:p>
        </w:tc>
        <w:tc>
          <w:tcPr>
            <w:tcW w:w="4170" w:type="dxa"/>
            <w:shd w:val="clear" w:color="auto" w:fill="auto"/>
            <w:vAlign w:val="center"/>
          </w:tcPr>
          <w:p w14:paraId="7BD2C301" w14:textId="47F6B07F" w:rsidR="006257C8" w:rsidRPr="002E4229" w:rsidRDefault="006257C8" w:rsidP="00117F42">
            <w:pPr>
              <w:shd w:val="clear" w:color="auto" w:fill="FFFFFF"/>
              <w:autoSpaceDE/>
              <w:autoSpaceDN/>
              <w:spacing w:before="60" w:after="60"/>
              <w:ind w:firstLine="720"/>
              <w:jc w:val="both"/>
              <w:rPr>
                <w:sz w:val="22"/>
                <w:szCs w:val="22"/>
                <w:lang w:eastAsia="en-US"/>
              </w:rPr>
            </w:pPr>
            <w:r w:rsidRPr="006257C8">
              <w:rPr>
                <w:sz w:val="22"/>
                <w:szCs w:val="22"/>
                <w:lang w:eastAsia="en-US"/>
              </w:rPr>
              <w:t>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tc>
        <w:tc>
          <w:tcPr>
            <w:tcW w:w="4253" w:type="dxa"/>
            <w:shd w:val="clear" w:color="auto" w:fill="auto"/>
            <w:vAlign w:val="center"/>
          </w:tcPr>
          <w:p w14:paraId="2F41977D" w14:textId="77777777" w:rsidR="00A04561" w:rsidRDefault="006257C8" w:rsidP="006257C8">
            <w:pPr>
              <w:shd w:val="clear" w:color="auto" w:fill="FFFFFF"/>
              <w:autoSpaceDE/>
              <w:autoSpaceDN/>
              <w:spacing w:before="60" w:after="60"/>
              <w:jc w:val="both"/>
              <w:rPr>
                <w:sz w:val="22"/>
                <w:szCs w:val="22"/>
                <w:lang w:eastAsia="en-US"/>
              </w:rPr>
            </w:pPr>
            <w:r>
              <w:rPr>
                <w:sz w:val="22"/>
                <w:szCs w:val="22"/>
                <w:lang w:eastAsia="en-US"/>
              </w:rPr>
              <w:t>Исключить.</w:t>
            </w:r>
          </w:p>
          <w:p w14:paraId="0B3BBE6B" w14:textId="77777777" w:rsidR="00A04561" w:rsidRDefault="00A04561" w:rsidP="006257C8">
            <w:pPr>
              <w:shd w:val="clear" w:color="auto" w:fill="FFFFFF"/>
              <w:autoSpaceDE/>
              <w:autoSpaceDN/>
              <w:spacing w:before="60" w:after="60"/>
              <w:jc w:val="both"/>
              <w:rPr>
                <w:sz w:val="22"/>
                <w:szCs w:val="22"/>
                <w:lang w:eastAsia="en-US"/>
              </w:rPr>
            </w:pPr>
          </w:p>
          <w:p w14:paraId="4B4F3A88" w14:textId="5F4DC0A1" w:rsidR="006257C8" w:rsidRDefault="00A04561" w:rsidP="006257C8">
            <w:pPr>
              <w:shd w:val="clear" w:color="auto" w:fill="FFFFFF"/>
              <w:autoSpaceDE/>
              <w:autoSpaceDN/>
              <w:spacing w:before="60" w:after="60"/>
              <w:jc w:val="both"/>
              <w:rPr>
                <w:sz w:val="22"/>
                <w:szCs w:val="22"/>
                <w:lang w:eastAsia="en-US"/>
              </w:rPr>
            </w:pPr>
            <w:r>
              <w:rPr>
                <w:sz w:val="22"/>
                <w:szCs w:val="22"/>
                <w:lang w:eastAsia="en-US"/>
              </w:rPr>
              <w:t>Изменить нумерацию пунктов</w:t>
            </w:r>
            <w:r w:rsidR="00B85459">
              <w:rPr>
                <w:sz w:val="22"/>
                <w:szCs w:val="22"/>
                <w:lang w:eastAsia="en-US"/>
              </w:rPr>
              <w:t xml:space="preserve"> 22.9 – 22.</w:t>
            </w:r>
            <w:r w:rsidR="00A163AB">
              <w:rPr>
                <w:sz w:val="22"/>
                <w:szCs w:val="22"/>
                <w:lang w:eastAsia="en-US"/>
              </w:rPr>
              <w:t>14</w:t>
            </w:r>
            <w:r w:rsidR="00B85459">
              <w:rPr>
                <w:sz w:val="22"/>
                <w:szCs w:val="22"/>
                <w:lang w:eastAsia="en-US"/>
              </w:rPr>
              <w:t xml:space="preserve"> </w:t>
            </w:r>
            <w:r>
              <w:rPr>
                <w:sz w:val="22"/>
                <w:szCs w:val="22"/>
                <w:lang w:eastAsia="en-US"/>
              </w:rPr>
              <w:t>на</w:t>
            </w:r>
            <w:r w:rsidR="00FE4D23">
              <w:rPr>
                <w:sz w:val="22"/>
                <w:szCs w:val="22"/>
                <w:lang w:eastAsia="en-US"/>
              </w:rPr>
              <w:t xml:space="preserve"> 22.8 – 22.</w:t>
            </w:r>
            <w:r w:rsidR="00A163AB">
              <w:rPr>
                <w:sz w:val="22"/>
                <w:szCs w:val="22"/>
                <w:lang w:eastAsia="en-US"/>
              </w:rPr>
              <w:t>13</w:t>
            </w:r>
            <w:r>
              <w:rPr>
                <w:sz w:val="22"/>
                <w:szCs w:val="22"/>
                <w:lang w:eastAsia="en-US"/>
              </w:rPr>
              <w:t xml:space="preserve"> соответственно.</w:t>
            </w:r>
            <w:r w:rsidR="00000A5D">
              <w:rPr>
                <w:sz w:val="22"/>
                <w:szCs w:val="22"/>
                <w:lang w:eastAsia="en-US"/>
              </w:rPr>
              <w:t xml:space="preserve"> </w:t>
            </w:r>
          </w:p>
          <w:p w14:paraId="21619DF2" w14:textId="77777777" w:rsidR="006257C8" w:rsidRDefault="006257C8" w:rsidP="006257C8">
            <w:pPr>
              <w:shd w:val="clear" w:color="auto" w:fill="FFFFFF"/>
              <w:autoSpaceDE/>
              <w:autoSpaceDN/>
              <w:spacing w:before="60" w:after="60"/>
              <w:jc w:val="both"/>
              <w:rPr>
                <w:sz w:val="22"/>
                <w:szCs w:val="22"/>
                <w:lang w:eastAsia="en-US"/>
              </w:rPr>
            </w:pPr>
          </w:p>
          <w:p w14:paraId="0346D841" w14:textId="77777777" w:rsidR="006257C8" w:rsidRDefault="006257C8" w:rsidP="006257C8">
            <w:pPr>
              <w:shd w:val="clear" w:color="auto" w:fill="FFFFFF"/>
              <w:autoSpaceDE/>
              <w:autoSpaceDN/>
              <w:spacing w:before="60" w:after="60"/>
              <w:jc w:val="both"/>
              <w:rPr>
                <w:sz w:val="22"/>
                <w:szCs w:val="22"/>
                <w:lang w:eastAsia="en-US"/>
              </w:rPr>
            </w:pPr>
          </w:p>
          <w:p w14:paraId="5F8FFC24" w14:textId="19D7B4FC" w:rsidR="006257C8" w:rsidRPr="00594B99" w:rsidRDefault="006257C8" w:rsidP="006257C8">
            <w:pPr>
              <w:shd w:val="clear" w:color="auto" w:fill="FFFFFF"/>
              <w:autoSpaceDE/>
              <w:autoSpaceDN/>
              <w:spacing w:before="60" w:after="60"/>
              <w:jc w:val="both"/>
              <w:rPr>
                <w:sz w:val="22"/>
                <w:szCs w:val="22"/>
                <w:lang w:eastAsia="en-US"/>
              </w:rPr>
            </w:pPr>
          </w:p>
        </w:tc>
      </w:tr>
      <w:tr w:rsidR="00D2207E" w:rsidRPr="00ED14F1" w14:paraId="7427904E" w14:textId="77777777" w:rsidTr="00027326">
        <w:trPr>
          <w:trHeight w:val="537"/>
        </w:trPr>
        <w:tc>
          <w:tcPr>
            <w:tcW w:w="568" w:type="dxa"/>
            <w:shd w:val="clear" w:color="auto" w:fill="auto"/>
          </w:tcPr>
          <w:p w14:paraId="04FBED50" w14:textId="069F57E7" w:rsidR="00D2207E" w:rsidRDefault="00343FE0"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10</w:t>
            </w:r>
          </w:p>
        </w:tc>
        <w:tc>
          <w:tcPr>
            <w:tcW w:w="1076" w:type="dxa"/>
            <w:shd w:val="clear" w:color="auto" w:fill="auto"/>
          </w:tcPr>
          <w:p w14:paraId="4FCBB9A7" w14:textId="59A8A3F7" w:rsidR="00D2207E" w:rsidRDefault="00D2207E" w:rsidP="00576992">
            <w:pPr>
              <w:autoSpaceDE/>
              <w:autoSpaceDN/>
              <w:jc w:val="center"/>
            </w:pPr>
            <w:r>
              <w:t>22.8.</w:t>
            </w:r>
          </w:p>
        </w:tc>
        <w:tc>
          <w:tcPr>
            <w:tcW w:w="4170" w:type="dxa"/>
            <w:shd w:val="clear" w:color="auto" w:fill="auto"/>
            <w:vAlign w:val="center"/>
          </w:tcPr>
          <w:p w14:paraId="559E2039" w14:textId="5FA03053" w:rsidR="00D2207E" w:rsidRPr="006257C8" w:rsidRDefault="00D2207E" w:rsidP="00D24F39">
            <w:pPr>
              <w:shd w:val="clear" w:color="auto" w:fill="FFFFFF"/>
              <w:autoSpaceDE/>
              <w:autoSpaceDN/>
              <w:spacing w:before="60" w:after="60"/>
              <w:ind w:firstLine="720"/>
              <w:jc w:val="both"/>
              <w:rPr>
                <w:sz w:val="22"/>
                <w:szCs w:val="22"/>
                <w:lang w:eastAsia="en-US"/>
              </w:rPr>
            </w:pPr>
            <w:r>
              <w:rPr>
                <w:color w:val="000000" w:themeColor="text1"/>
                <w:sz w:val="22"/>
                <w:szCs w:val="22"/>
                <w:lang w:eastAsia="en-US"/>
              </w:rPr>
              <w:t xml:space="preserve">22.9. </w:t>
            </w:r>
            <w:r w:rsidRPr="00D2207E">
              <w:rPr>
                <w:color w:val="000000" w:themeColor="text1"/>
                <w:sz w:val="22"/>
                <w:szCs w:val="22"/>
                <w:lang w:eastAsia="en-US"/>
              </w:rPr>
              <w:t>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tc>
        <w:tc>
          <w:tcPr>
            <w:tcW w:w="4253" w:type="dxa"/>
            <w:shd w:val="clear" w:color="auto" w:fill="auto"/>
            <w:vAlign w:val="center"/>
          </w:tcPr>
          <w:p w14:paraId="53D849A4" w14:textId="77777777" w:rsidR="00D2207E" w:rsidRPr="00D2207E" w:rsidRDefault="00D2207E" w:rsidP="00D2207E">
            <w:pPr>
              <w:shd w:val="clear" w:color="auto" w:fill="FFFFFF"/>
              <w:spacing w:before="60" w:after="60"/>
              <w:ind w:firstLine="720"/>
              <w:jc w:val="both"/>
              <w:rPr>
                <w:color w:val="000000" w:themeColor="text1"/>
                <w:sz w:val="22"/>
                <w:szCs w:val="22"/>
                <w:lang w:eastAsia="en-US"/>
              </w:rPr>
            </w:pPr>
            <w:r>
              <w:rPr>
                <w:sz w:val="22"/>
                <w:szCs w:val="22"/>
                <w:lang w:eastAsia="en-US"/>
              </w:rPr>
              <w:t xml:space="preserve">22.8. </w:t>
            </w:r>
            <w:r w:rsidRPr="00D2207E">
              <w:rPr>
                <w:color w:val="000000" w:themeColor="text1"/>
                <w:sz w:val="22"/>
                <w:szCs w:val="22"/>
                <w:lang w:eastAsia="en-US"/>
              </w:rPr>
              <w:t xml:space="preserve">В состав активов фонда не могут входить производные финансовые инструменты, </w:t>
            </w:r>
            <w:r w:rsidRPr="00D2207E">
              <w:rPr>
                <w:sz w:val="22"/>
                <w:szCs w:val="22"/>
              </w:rPr>
              <w:t xml:space="preserve">предназначенные для квалифицированных инвесторов, включая производные финансовые инструменты, определенные в </w:t>
            </w:r>
            <w:hyperlink r:id="rId12">
              <w:r w:rsidRPr="00D2207E">
                <w:rPr>
                  <w:sz w:val="22"/>
                  <w:szCs w:val="22"/>
                </w:rPr>
                <w:t>Указании</w:t>
              </w:r>
            </w:hyperlink>
            <w:r w:rsidRPr="00D2207E">
              <w:rPr>
                <w:sz w:val="22"/>
                <w:szCs w:val="22"/>
              </w:rPr>
              <w:t xml:space="preserve"> Банка России от 9 января 2023 года N 6347-У.</w:t>
            </w:r>
          </w:p>
          <w:p w14:paraId="2E46FB68" w14:textId="5B52FA56" w:rsidR="00D2207E" w:rsidRDefault="00D2207E" w:rsidP="006257C8">
            <w:pPr>
              <w:shd w:val="clear" w:color="auto" w:fill="FFFFFF"/>
              <w:autoSpaceDE/>
              <w:autoSpaceDN/>
              <w:spacing w:before="60" w:after="60"/>
              <w:jc w:val="both"/>
              <w:rPr>
                <w:sz w:val="22"/>
                <w:szCs w:val="22"/>
                <w:lang w:eastAsia="en-US"/>
              </w:rPr>
            </w:pPr>
          </w:p>
        </w:tc>
      </w:tr>
      <w:tr w:rsidR="004C506D" w:rsidRPr="00ED14F1" w14:paraId="5E5E2AC8" w14:textId="77777777" w:rsidTr="00027326">
        <w:trPr>
          <w:trHeight w:val="537"/>
        </w:trPr>
        <w:tc>
          <w:tcPr>
            <w:tcW w:w="568" w:type="dxa"/>
            <w:shd w:val="clear" w:color="auto" w:fill="auto"/>
          </w:tcPr>
          <w:p w14:paraId="3A280A1A" w14:textId="0293E838" w:rsidR="004C506D" w:rsidRDefault="00343FE0"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11</w:t>
            </w:r>
          </w:p>
        </w:tc>
        <w:tc>
          <w:tcPr>
            <w:tcW w:w="1076" w:type="dxa"/>
            <w:shd w:val="clear" w:color="auto" w:fill="auto"/>
          </w:tcPr>
          <w:p w14:paraId="2D184FD4" w14:textId="4B6437E4" w:rsidR="004C506D" w:rsidRDefault="004C506D" w:rsidP="00576992">
            <w:pPr>
              <w:autoSpaceDE/>
              <w:autoSpaceDN/>
              <w:jc w:val="center"/>
            </w:pPr>
            <w:r>
              <w:t>22.9</w:t>
            </w:r>
            <w:r w:rsidR="00D24F39">
              <w:t>.</w:t>
            </w:r>
          </w:p>
        </w:tc>
        <w:tc>
          <w:tcPr>
            <w:tcW w:w="4170" w:type="dxa"/>
            <w:shd w:val="clear" w:color="auto" w:fill="auto"/>
            <w:vAlign w:val="center"/>
          </w:tcPr>
          <w:p w14:paraId="18BB3D54" w14:textId="7D713593" w:rsidR="004C506D" w:rsidRDefault="004C506D" w:rsidP="00D24F39">
            <w:pPr>
              <w:autoSpaceDE/>
              <w:autoSpaceDN/>
              <w:ind w:firstLine="567"/>
              <w:jc w:val="both"/>
              <w:rPr>
                <w:color w:val="000000" w:themeColor="text1"/>
                <w:sz w:val="22"/>
                <w:szCs w:val="22"/>
                <w:lang w:eastAsia="en-US"/>
              </w:rPr>
            </w:pPr>
            <w:r>
              <w:rPr>
                <w:sz w:val="22"/>
                <w:szCs w:val="22"/>
                <w:lang w:eastAsia="en-US"/>
              </w:rPr>
              <w:t xml:space="preserve">22.10. </w:t>
            </w:r>
            <w:r w:rsidRPr="004C506D">
              <w:rPr>
                <w:sz w:val="22"/>
                <w:szCs w:val="22"/>
                <w:lang w:eastAsia="en-US"/>
              </w:rPr>
              <w:t xml:space="preserve">В </w:t>
            </w:r>
            <w:r w:rsidRPr="004C506D">
              <w:rPr>
                <w:sz w:val="22"/>
                <w:szCs w:val="22"/>
              </w:rPr>
              <w:t>состав</w:t>
            </w:r>
            <w:r w:rsidRPr="004C506D">
              <w:rPr>
                <w:sz w:val="22"/>
                <w:szCs w:val="22"/>
                <w:lang w:eastAsia="en-US"/>
              </w:rPr>
              <w:t xml:space="preserve"> активов фон</w:t>
            </w:r>
            <w:r w:rsidR="00721459">
              <w:rPr>
                <w:sz w:val="22"/>
                <w:szCs w:val="22"/>
                <w:lang w:eastAsia="en-US"/>
              </w:rPr>
              <w:t>да могут входить предусмотренных</w:t>
            </w:r>
            <w:r w:rsidRPr="004C506D">
              <w:rPr>
                <w:sz w:val="22"/>
                <w:szCs w:val="22"/>
                <w:lang w:eastAsia="en-US"/>
              </w:rPr>
              <w:t xml:space="preserve"> пунктом 22.2.2. настоящих Правил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22.2.2.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tc>
        <w:tc>
          <w:tcPr>
            <w:tcW w:w="4253" w:type="dxa"/>
            <w:shd w:val="clear" w:color="auto" w:fill="auto"/>
            <w:vAlign w:val="center"/>
          </w:tcPr>
          <w:p w14:paraId="6EC93D33" w14:textId="36029834" w:rsidR="004C506D" w:rsidRPr="004C506D" w:rsidRDefault="004C506D" w:rsidP="004C506D">
            <w:pPr>
              <w:autoSpaceDE/>
              <w:autoSpaceDN/>
              <w:ind w:firstLine="567"/>
              <w:jc w:val="both"/>
              <w:rPr>
                <w:sz w:val="22"/>
                <w:szCs w:val="22"/>
                <w:lang w:eastAsia="en-US"/>
              </w:rPr>
            </w:pPr>
            <w:r>
              <w:rPr>
                <w:sz w:val="22"/>
                <w:szCs w:val="22"/>
                <w:lang w:eastAsia="en-US"/>
              </w:rPr>
              <w:t>22.9</w:t>
            </w:r>
            <w:r w:rsidR="00D24F39">
              <w:rPr>
                <w:sz w:val="22"/>
                <w:szCs w:val="22"/>
                <w:lang w:eastAsia="en-US"/>
              </w:rPr>
              <w:t>.</w:t>
            </w:r>
            <w:r>
              <w:rPr>
                <w:sz w:val="22"/>
                <w:szCs w:val="22"/>
                <w:lang w:eastAsia="en-US"/>
              </w:rPr>
              <w:t xml:space="preserve"> </w:t>
            </w:r>
            <w:r w:rsidRPr="004C506D">
              <w:rPr>
                <w:sz w:val="22"/>
                <w:szCs w:val="22"/>
                <w:lang w:eastAsia="en-US"/>
              </w:rPr>
              <w:t xml:space="preserve">В </w:t>
            </w:r>
            <w:r w:rsidRPr="004C506D">
              <w:rPr>
                <w:sz w:val="22"/>
                <w:szCs w:val="22"/>
              </w:rPr>
              <w:t>состав</w:t>
            </w:r>
            <w:r w:rsidRPr="004C506D">
              <w:rPr>
                <w:sz w:val="22"/>
                <w:szCs w:val="22"/>
                <w:lang w:eastAsia="en-US"/>
              </w:rPr>
              <w:t xml:space="preserve"> активов фон</w:t>
            </w:r>
            <w:r>
              <w:rPr>
                <w:sz w:val="22"/>
                <w:szCs w:val="22"/>
                <w:lang w:eastAsia="en-US"/>
              </w:rPr>
              <w:t>да могут входить предусмотренные</w:t>
            </w:r>
            <w:r w:rsidRPr="004C506D">
              <w:rPr>
                <w:sz w:val="22"/>
                <w:szCs w:val="22"/>
                <w:lang w:eastAsia="en-US"/>
              </w:rPr>
              <w:t xml:space="preserve"> пунктом 22.2.2. настоящих Правил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22.2.2.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622C73AA" w14:textId="77777777" w:rsidR="004C506D" w:rsidRDefault="004C506D" w:rsidP="00D2207E">
            <w:pPr>
              <w:shd w:val="clear" w:color="auto" w:fill="FFFFFF"/>
              <w:spacing w:before="60" w:after="60"/>
              <w:ind w:firstLine="720"/>
              <w:jc w:val="both"/>
              <w:rPr>
                <w:sz w:val="22"/>
                <w:szCs w:val="22"/>
                <w:lang w:eastAsia="en-US"/>
              </w:rPr>
            </w:pPr>
          </w:p>
        </w:tc>
      </w:tr>
      <w:tr w:rsidR="00A163AB" w:rsidRPr="00ED14F1" w14:paraId="0E25243F" w14:textId="77777777" w:rsidTr="00027326">
        <w:trPr>
          <w:trHeight w:val="537"/>
        </w:trPr>
        <w:tc>
          <w:tcPr>
            <w:tcW w:w="568" w:type="dxa"/>
            <w:shd w:val="clear" w:color="auto" w:fill="auto"/>
          </w:tcPr>
          <w:p w14:paraId="187F94A8" w14:textId="5B89601C" w:rsidR="00A163AB" w:rsidRDefault="00D2207E"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w:t>
            </w:r>
            <w:r w:rsidR="00343FE0">
              <w:rPr>
                <w:rFonts w:ascii="Times New Roman" w:hAnsi="Times New Roman" w:cs="Times New Roman"/>
                <w:kern w:val="0"/>
              </w:rPr>
              <w:t>2</w:t>
            </w:r>
          </w:p>
        </w:tc>
        <w:tc>
          <w:tcPr>
            <w:tcW w:w="1076" w:type="dxa"/>
            <w:shd w:val="clear" w:color="auto" w:fill="auto"/>
          </w:tcPr>
          <w:p w14:paraId="7176A541" w14:textId="67A25AC1" w:rsidR="00A163AB" w:rsidRDefault="00A163AB" w:rsidP="00576992">
            <w:pPr>
              <w:autoSpaceDE/>
              <w:autoSpaceDN/>
              <w:jc w:val="center"/>
            </w:pPr>
            <w:r>
              <w:t>22.13.</w:t>
            </w:r>
          </w:p>
        </w:tc>
        <w:tc>
          <w:tcPr>
            <w:tcW w:w="4170" w:type="dxa"/>
            <w:shd w:val="clear" w:color="auto" w:fill="auto"/>
            <w:vAlign w:val="center"/>
          </w:tcPr>
          <w:p w14:paraId="7A3967D1" w14:textId="21B955A0" w:rsidR="00A163AB" w:rsidRPr="00A163AB" w:rsidRDefault="00721459" w:rsidP="00A163AB">
            <w:pPr>
              <w:autoSpaceDE/>
              <w:autoSpaceDN/>
              <w:ind w:firstLine="720"/>
              <w:jc w:val="both"/>
              <w:rPr>
                <w:sz w:val="22"/>
                <w:szCs w:val="22"/>
              </w:rPr>
            </w:pPr>
            <w:r>
              <w:rPr>
                <w:sz w:val="22"/>
                <w:szCs w:val="22"/>
              </w:rPr>
              <w:t xml:space="preserve">22.14. </w:t>
            </w:r>
            <w:r w:rsidR="00A163AB" w:rsidRPr="00A163AB">
              <w:rPr>
                <w:sz w:val="22"/>
                <w:szCs w:val="22"/>
              </w:rPr>
              <w:t>В целях применения пункта 22.1.1.3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6FAE9F9A" w14:textId="77777777" w:rsidR="00A163AB" w:rsidRPr="006257C8" w:rsidRDefault="00A163AB" w:rsidP="006257C8">
            <w:pPr>
              <w:shd w:val="clear" w:color="auto" w:fill="FFFFFF"/>
              <w:autoSpaceDE/>
              <w:autoSpaceDN/>
              <w:spacing w:before="60" w:after="60"/>
              <w:ind w:firstLine="720"/>
              <w:jc w:val="both"/>
              <w:rPr>
                <w:sz w:val="22"/>
                <w:szCs w:val="22"/>
                <w:lang w:eastAsia="en-US"/>
              </w:rPr>
            </w:pPr>
          </w:p>
        </w:tc>
        <w:tc>
          <w:tcPr>
            <w:tcW w:w="4253" w:type="dxa"/>
            <w:shd w:val="clear" w:color="auto" w:fill="auto"/>
            <w:vAlign w:val="center"/>
          </w:tcPr>
          <w:p w14:paraId="192DD3DA" w14:textId="547FA0B8" w:rsidR="00A163AB" w:rsidRDefault="00721459" w:rsidP="006257C8">
            <w:pPr>
              <w:shd w:val="clear" w:color="auto" w:fill="FFFFFF"/>
              <w:autoSpaceDE/>
              <w:autoSpaceDN/>
              <w:spacing w:before="60" w:after="60"/>
              <w:jc w:val="both"/>
              <w:rPr>
                <w:sz w:val="22"/>
                <w:szCs w:val="22"/>
                <w:lang w:eastAsia="en-US"/>
              </w:rPr>
            </w:pPr>
            <w:r>
              <w:rPr>
                <w:sz w:val="22"/>
                <w:szCs w:val="22"/>
              </w:rPr>
              <w:t xml:space="preserve">22.13. </w:t>
            </w:r>
            <w:r w:rsidR="00A163AB" w:rsidRPr="00A163AB">
              <w:rPr>
                <w:sz w:val="22"/>
                <w:szCs w:val="22"/>
              </w:rPr>
              <w:t xml:space="preserve">В целях применения </w:t>
            </w:r>
            <w:r w:rsidR="00A163AB" w:rsidRPr="005000D7">
              <w:rPr>
                <w:sz w:val="22"/>
                <w:szCs w:val="22"/>
              </w:rPr>
              <w:t>пунктов 22.5, 22.7. и 23.1.2.</w:t>
            </w:r>
            <w:r w:rsidR="00A163AB" w:rsidRPr="00CF4DD2">
              <w:rPr>
                <w:sz w:val="22"/>
                <w:szCs w:val="22"/>
              </w:rPr>
              <w:t xml:space="preserve"> н</w:t>
            </w:r>
            <w:r w:rsidR="00A163AB" w:rsidRPr="00A163AB">
              <w:rPr>
                <w:sz w:val="22"/>
                <w:szCs w:val="22"/>
              </w:rPr>
              <w:t>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tc>
      </w:tr>
      <w:tr w:rsidR="000864B6" w:rsidRPr="00ED14F1" w14:paraId="621ACD7F" w14:textId="77777777" w:rsidTr="00027326">
        <w:trPr>
          <w:trHeight w:val="537"/>
        </w:trPr>
        <w:tc>
          <w:tcPr>
            <w:tcW w:w="568" w:type="dxa"/>
            <w:shd w:val="clear" w:color="auto" w:fill="auto"/>
          </w:tcPr>
          <w:p w14:paraId="08A15ED2" w14:textId="65CAAA97" w:rsidR="000864B6" w:rsidRDefault="00C33744"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w:t>
            </w:r>
            <w:r w:rsidR="00343FE0">
              <w:rPr>
                <w:rFonts w:ascii="Times New Roman" w:hAnsi="Times New Roman" w:cs="Times New Roman"/>
                <w:kern w:val="0"/>
              </w:rPr>
              <w:t>3</w:t>
            </w:r>
          </w:p>
        </w:tc>
        <w:tc>
          <w:tcPr>
            <w:tcW w:w="1076" w:type="dxa"/>
            <w:shd w:val="clear" w:color="auto" w:fill="auto"/>
          </w:tcPr>
          <w:p w14:paraId="31BF4361" w14:textId="7E385029" w:rsidR="000864B6" w:rsidRDefault="000729E9" w:rsidP="00576992">
            <w:pPr>
              <w:autoSpaceDE/>
              <w:autoSpaceDN/>
              <w:jc w:val="center"/>
            </w:pPr>
            <w:r>
              <w:t>23.1.2.</w:t>
            </w:r>
          </w:p>
        </w:tc>
        <w:tc>
          <w:tcPr>
            <w:tcW w:w="4170" w:type="dxa"/>
            <w:shd w:val="clear" w:color="auto" w:fill="auto"/>
            <w:vAlign w:val="center"/>
          </w:tcPr>
          <w:p w14:paraId="72D75F75" w14:textId="77777777" w:rsidR="009A681C" w:rsidRPr="009A681C" w:rsidRDefault="009A681C" w:rsidP="009A681C">
            <w:pPr>
              <w:autoSpaceDE/>
              <w:autoSpaceDN/>
              <w:ind w:firstLine="567"/>
              <w:jc w:val="both"/>
              <w:rPr>
                <w:sz w:val="22"/>
                <w:szCs w:val="22"/>
              </w:rPr>
            </w:pPr>
            <w:r w:rsidRPr="009A681C">
              <w:rPr>
                <w:sz w:val="22"/>
                <w:szCs w:val="22"/>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w:t>
            </w:r>
            <w:proofErr w:type="gramStart"/>
            <w:r w:rsidRPr="009A681C">
              <w:rPr>
                <w:sz w:val="22"/>
                <w:szCs w:val="22"/>
              </w:rPr>
              <w:t xml:space="preserve">), </w:t>
            </w:r>
            <w:r w:rsidRPr="009A681C">
              <w:rPr>
                <w:sz w:val="22"/>
                <w:szCs w:val="22"/>
                <w:lang w:eastAsia="en-US"/>
              </w:rPr>
              <w:t xml:space="preserve"> права</w:t>
            </w:r>
            <w:proofErr w:type="gramEnd"/>
            <w:r w:rsidRPr="009A681C">
              <w:rPr>
                <w:sz w:val="22"/>
                <w:szCs w:val="22"/>
                <w:lang w:eastAsia="en-US"/>
              </w:rPr>
              <w:t xml:space="preserve"> требования к такому юридическому лицу в совокупности не должны превышать 10 (Десять) процентов стоимости активов фонда.</w:t>
            </w:r>
            <w:r w:rsidRPr="009A681C">
              <w:rPr>
                <w:b/>
                <w:lang w:eastAsia="en-US"/>
              </w:rPr>
              <w:t xml:space="preserve"> </w:t>
            </w:r>
            <w:r w:rsidRPr="009A681C">
              <w:rPr>
                <w:sz w:val="22"/>
                <w:szCs w:val="22"/>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4B76117A" w14:textId="77777777" w:rsidR="009A681C" w:rsidRPr="009A681C" w:rsidRDefault="009A681C" w:rsidP="009A681C">
            <w:pPr>
              <w:autoSpaceDE/>
              <w:autoSpaceDN/>
              <w:adjustRightInd w:val="0"/>
              <w:ind w:firstLine="567"/>
              <w:jc w:val="both"/>
              <w:rPr>
                <w:sz w:val="22"/>
                <w:szCs w:val="22"/>
              </w:rPr>
            </w:pPr>
            <w:r w:rsidRPr="009A681C">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10 (Десять) процентов стоимости активов фонда.</w:t>
            </w:r>
          </w:p>
          <w:p w14:paraId="0B894679" w14:textId="77777777" w:rsidR="009A681C" w:rsidRPr="009A681C" w:rsidRDefault="009A681C" w:rsidP="009A681C">
            <w:pPr>
              <w:autoSpaceDE/>
              <w:autoSpaceDN/>
              <w:ind w:firstLine="567"/>
              <w:jc w:val="both"/>
              <w:rPr>
                <w:sz w:val="22"/>
                <w:szCs w:val="22"/>
              </w:rPr>
            </w:pPr>
            <w:r w:rsidRPr="009A681C">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2C613892" w14:textId="77777777" w:rsidR="009A681C" w:rsidRPr="009A681C" w:rsidRDefault="009A681C" w:rsidP="009A681C">
            <w:pPr>
              <w:autoSpaceDE/>
              <w:autoSpaceDN/>
              <w:ind w:firstLine="567"/>
              <w:jc w:val="both"/>
              <w:rPr>
                <w:sz w:val="22"/>
                <w:szCs w:val="22"/>
              </w:rPr>
            </w:pPr>
            <w:r w:rsidRPr="009A681C">
              <w:rPr>
                <w:sz w:val="22"/>
                <w:szCs w:val="22"/>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3" w:history="1">
              <w:r w:rsidRPr="009A681C">
                <w:rPr>
                  <w:sz w:val="22"/>
                  <w:szCs w:val="22"/>
                </w:rPr>
                <w:t>абзаце восьмом</w:t>
              </w:r>
            </w:hyperlink>
            <w:r w:rsidRPr="009A681C">
              <w:rPr>
                <w:sz w:val="22"/>
                <w:szCs w:val="22"/>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w:t>
            </w:r>
            <w:r w:rsidRPr="009A681C">
              <w:rPr>
                <w:b/>
                <w:sz w:val="24"/>
                <w:szCs w:val="24"/>
                <w:lang w:eastAsia="en-US"/>
              </w:rPr>
              <w:t xml:space="preserve"> </w:t>
            </w:r>
            <w:r w:rsidRPr="009A681C">
              <w:rPr>
                <w:sz w:val="22"/>
                <w:szCs w:val="22"/>
                <w:lang w:eastAsia="en-US"/>
              </w:rPr>
              <w:t>а также при наличии одного из следующих обстоятельств: в соответствии с требованиями, предъявляемыми</w:t>
            </w:r>
            <w:r w:rsidRPr="009A681C">
              <w:rPr>
                <w:sz w:val="22"/>
                <w:szCs w:val="22"/>
              </w:rPr>
              <w:t xml:space="preserve">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9A681C">
              <w:rPr>
                <w:b/>
                <w:sz w:val="24"/>
                <w:szCs w:val="24"/>
                <w:lang w:eastAsia="en-US"/>
              </w:rPr>
              <w:t xml:space="preserve"> </w:t>
            </w:r>
            <w:r w:rsidRPr="009A681C">
              <w:rPr>
                <w:sz w:val="22"/>
                <w:szCs w:val="22"/>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28C3FDC0" w14:textId="77777777" w:rsidR="009A681C" w:rsidRPr="009A681C" w:rsidRDefault="009A681C" w:rsidP="009A681C">
            <w:pPr>
              <w:autoSpaceDE/>
              <w:autoSpaceDN/>
              <w:ind w:firstLine="567"/>
              <w:jc w:val="both"/>
              <w:rPr>
                <w:sz w:val="22"/>
                <w:szCs w:val="22"/>
              </w:rPr>
            </w:pPr>
            <w:r w:rsidRPr="009A681C">
              <w:rPr>
                <w:sz w:val="22"/>
                <w:szCs w:val="22"/>
              </w:rPr>
              <w:t xml:space="preserve">Для целей расчета ограничения, указанного в абзаце первом настоящего пункта, </w:t>
            </w:r>
            <w:r w:rsidRPr="009A681C">
              <w:rPr>
                <w:sz w:val="22"/>
                <w:szCs w:val="22"/>
                <w:lang w:eastAsia="en-US"/>
              </w:rPr>
              <w:t>при определении доли оценочной стоимости активов в стоимости активов фонда</w:t>
            </w:r>
            <w:r w:rsidRPr="009A681C">
              <w:rPr>
                <w:lang w:eastAsia="en-US"/>
              </w:rPr>
              <w:t xml:space="preserve"> </w:t>
            </w:r>
            <w:r w:rsidRPr="009A681C">
              <w:rPr>
                <w:sz w:val="22"/>
                <w:szCs w:val="22"/>
              </w:rPr>
              <w:t xml:space="preserve">в сумме денежных средств в рублях и в иностранной валюте на счетах в одном юридическом лице </w:t>
            </w:r>
            <w:r w:rsidRPr="009A681C">
              <w:rPr>
                <w:sz w:val="22"/>
                <w:szCs w:val="22"/>
                <w:lang w:eastAsia="en-US"/>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9A681C">
              <w:rPr>
                <w:sz w:val="22"/>
                <w:szCs w:val="22"/>
              </w:rPr>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01EA77E2" w14:textId="77777777" w:rsidR="009A681C" w:rsidRPr="009A681C" w:rsidRDefault="009A681C" w:rsidP="009A681C">
            <w:pPr>
              <w:autoSpaceDE/>
              <w:autoSpaceDN/>
              <w:ind w:firstLine="567"/>
              <w:jc w:val="both"/>
              <w:rPr>
                <w:sz w:val="22"/>
                <w:szCs w:val="22"/>
              </w:rPr>
            </w:pPr>
            <w:r w:rsidRPr="009A681C">
              <w:rPr>
                <w:sz w:val="22"/>
                <w:szCs w:val="22"/>
              </w:rPr>
              <w:t>При этом общая сумма денежных средств</w:t>
            </w:r>
            <w:r w:rsidRPr="009A681C">
              <w:rPr>
                <w:b/>
                <w:sz w:val="24"/>
                <w:szCs w:val="24"/>
                <w:lang w:eastAsia="en-US"/>
              </w:rPr>
              <w:t xml:space="preserve"> </w:t>
            </w:r>
            <w:r w:rsidRPr="009A681C">
              <w:rPr>
                <w:sz w:val="22"/>
                <w:szCs w:val="22"/>
                <w:lang w:eastAsia="en-US"/>
              </w:rPr>
              <w:t xml:space="preserve">и стоимость прав требований, которые не учитываются при расчете ограничения, указанного в </w:t>
            </w:r>
            <w:hyperlink r:id="rId14" w:history="1">
              <w:r w:rsidRPr="009A681C">
                <w:rPr>
                  <w:sz w:val="22"/>
                  <w:szCs w:val="22"/>
                  <w:lang w:eastAsia="en-US"/>
                </w:rPr>
                <w:t>абзаце первом</w:t>
              </w:r>
            </w:hyperlink>
            <w:r w:rsidRPr="009A681C">
              <w:rPr>
                <w:sz w:val="22"/>
                <w:szCs w:val="22"/>
                <w:lang w:eastAsia="en-US"/>
              </w:rPr>
              <w:t xml:space="preserve"> настоящего пункта</w:t>
            </w:r>
            <w:r w:rsidRPr="009A681C">
              <w:rPr>
                <w:sz w:val="22"/>
                <w:szCs w:val="22"/>
              </w:rPr>
              <w:t>,  в отношении всех денежных средств в рублях и в иностранной валюте на всех счетах</w:t>
            </w:r>
            <w:r w:rsidRPr="009A681C">
              <w:rPr>
                <w:b/>
                <w:sz w:val="24"/>
                <w:szCs w:val="24"/>
                <w:lang w:eastAsia="en-US"/>
              </w:rPr>
              <w:t xml:space="preserve"> </w:t>
            </w:r>
            <w:r w:rsidRPr="009A681C">
              <w:rPr>
                <w:sz w:val="22"/>
                <w:szCs w:val="22"/>
                <w:lang w:eastAsia="en-US"/>
              </w:rPr>
              <w:t>и в отношении всех прав требований к юридическим лицам, возникших на основании указанных договоров о брокерском обслуживании</w:t>
            </w:r>
            <w:r w:rsidRPr="009A681C">
              <w:rPr>
                <w:b/>
                <w:sz w:val="24"/>
                <w:szCs w:val="24"/>
                <w:lang w:eastAsia="en-US"/>
              </w:rPr>
              <w:t>,</w:t>
            </w:r>
            <w:r w:rsidRPr="009A681C">
              <w:rPr>
                <w:sz w:val="22"/>
                <w:szCs w:val="22"/>
              </w:rPr>
              <w:t xml:space="preserve">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1B05D75F" w14:textId="77777777" w:rsidR="009A681C" w:rsidRPr="009A681C" w:rsidRDefault="009A681C" w:rsidP="009A681C">
            <w:pPr>
              <w:ind w:firstLine="567"/>
              <w:jc w:val="both"/>
              <w:rPr>
                <w:sz w:val="22"/>
                <w:szCs w:val="22"/>
              </w:rPr>
            </w:pPr>
            <w:r w:rsidRPr="009A681C">
              <w:rPr>
                <w:sz w:val="22"/>
                <w:szCs w:val="22"/>
              </w:rPr>
              <w:t xml:space="preserve">Для целей расчета ограничения, указанного в </w:t>
            </w:r>
            <w:hyperlink r:id="rId15" w:history="1">
              <w:r w:rsidRPr="009A681C">
                <w:rPr>
                  <w:sz w:val="22"/>
                  <w:szCs w:val="22"/>
                </w:rPr>
                <w:t>абзаце первом</w:t>
              </w:r>
            </w:hyperlink>
            <w:r w:rsidRPr="009A681C">
              <w:rPr>
                <w:sz w:val="22"/>
                <w:szCs w:val="22"/>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4A2408D1" w14:textId="77777777" w:rsidR="009A681C" w:rsidRPr="009A681C" w:rsidRDefault="009A681C" w:rsidP="009A681C">
            <w:pPr>
              <w:autoSpaceDE/>
              <w:autoSpaceDN/>
              <w:ind w:firstLine="567"/>
              <w:jc w:val="both"/>
              <w:rPr>
                <w:sz w:val="22"/>
                <w:szCs w:val="22"/>
                <w:lang w:eastAsia="en-US"/>
              </w:rPr>
            </w:pPr>
            <w:r w:rsidRPr="009A681C">
              <w:rPr>
                <w:sz w:val="22"/>
                <w:szCs w:val="22"/>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3731855" w14:textId="77777777" w:rsidR="009A681C" w:rsidRPr="009A681C" w:rsidRDefault="009A681C" w:rsidP="009A681C">
            <w:pPr>
              <w:autoSpaceDE/>
              <w:autoSpaceDN/>
              <w:ind w:firstLine="567"/>
              <w:jc w:val="both"/>
              <w:rPr>
                <w:sz w:val="22"/>
                <w:szCs w:val="22"/>
                <w:lang w:eastAsia="en-US"/>
              </w:rPr>
            </w:pPr>
            <w:r w:rsidRPr="009A681C">
              <w:rPr>
                <w:sz w:val="22"/>
                <w:szCs w:val="22"/>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1796FFC" w14:textId="57100930" w:rsidR="009A681C" w:rsidRPr="009A681C" w:rsidRDefault="009A681C" w:rsidP="009A681C">
            <w:pPr>
              <w:autoSpaceDE/>
              <w:autoSpaceDN/>
              <w:ind w:firstLine="567"/>
              <w:jc w:val="both"/>
              <w:rPr>
                <w:sz w:val="22"/>
                <w:szCs w:val="22"/>
                <w:lang w:eastAsia="en-US"/>
              </w:rPr>
            </w:pPr>
            <w:r w:rsidRPr="009A681C">
              <w:rPr>
                <w:sz w:val="22"/>
                <w:szCs w:val="22"/>
                <w:lang w:eastAsia="en-US"/>
              </w:rPr>
              <w:t xml:space="preserve">Для целей настоящего пункта </w:t>
            </w:r>
            <w:r>
              <w:rPr>
                <w:sz w:val="22"/>
                <w:szCs w:val="22"/>
                <w:lang w:eastAsia="en-US"/>
              </w:rPr>
              <w:t>и пункта 23.1.4.</w:t>
            </w:r>
            <w:r w:rsidRPr="009A681C">
              <w:rPr>
                <w:sz w:val="22"/>
                <w:szCs w:val="22"/>
                <w:lang w:eastAsia="en-US"/>
              </w:rPr>
              <w:t xml:space="preserve">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9A681C">
              <w:rPr>
                <w:sz w:val="24"/>
                <w:szCs w:val="24"/>
                <w:lang w:eastAsia="en-US"/>
              </w:rPr>
              <w:t xml:space="preserve"> </w:t>
            </w:r>
            <w:r w:rsidRPr="009A681C">
              <w:rPr>
                <w:sz w:val="22"/>
                <w:szCs w:val="22"/>
                <w:lang w:eastAsia="en-US"/>
              </w:rPr>
              <w:t>открытой позиции, скорректированной по результатам клиринга.</w:t>
            </w:r>
          </w:p>
          <w:p w14:paraId="1188B6B5" w14:textId="3ACA0118" w:rsidR="000864B6" w:rsidRDefault="009A681C" w:rsidP="009A681C">
            <w:pPr>
              <w:autoSpaceDE/>
              <w:autoSpaceDN/>
              <w:ind w:firstLine="720"/>
              <w:jc w:val="both"/>
              <w:rPr>
                <w:sz w:val="22"/>
                <w:szCs w:val="22"/>
              </w:rPr>
            </w:pPr>
            <w:r w:rsidRPr="009A681C">
              <w:rPr>
                <w:sz w:val="22"/>
                <w:szCs w:val="22"/>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tc>
        <w:tc>
          <w:tcPr>
            <w:tcW w:w="4253" w:type="dxa"/>
            <w:shd w:val="clear" w:color="auto" w:fill="auto"/>
            <w:vAlign w:val="center"/>
          </w:tcPr>
          <w:p w14:paraId="63CF67EF" w14:textId="77777777" w:rsidR="00A9107A" w:rsidRPr="00A9107A" w:rsidRDefault="00A9107A" w:rsidP="00A9107A">
            <w:pPr>
              <w:autoSpaceDE/>
              <w:autoSpaceDN/>
              <w:ind w:firstLine="567"/>
              <w:jc w:val="both"/>
              <w:rPr>
                <w:sz w:val="22"/>
                <w:szCs w:val="22"/>
              </w:rPr>
            </w:pPr>
            <w:r w:rsidRPr="00A9107A">
              <w:rPr>
                <w:sz w:val="22"/>
                <w:szCs w:val="22"/>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w:t>
            </w:r>
            <w:proofErr w:type="gramStart"/>
            <w:r w:rsidRPr="00A9107A">
              <w:rPr>
                <w:sz w:val="22"/>
                <w:szCs w:val="22"/>
              </w:rPr>
              <w:t xml:space="preserve">), </w:t>
            </w:r>
            <w:r w:rsidRPr="00A9107A">
              <w:rPr>
                <w:sz w:val="22"/>
                <w:szCs w:val="22"/>
                <w:lang w:eastAsia="en-US"/>
              </w:rPr>
              <w:t xml:space="preserve"> права</w:t>
            </w:r>
            <w:proofErr w:type="gramEnd"/>
            <w:r w:rsidRPr="00A9107A">
              <w:rPr>
                <w:sz w:val="22"/>
                <w:szCs w:val="22"/>
                <w:lang w:eastAsia="en-US"/>
              </w:rPr>
              <w:t xml:space="preserve"> требования к такому юридическому лицу в совокупности не должны превышать 10 (Десять) процентов стоимости активов фонда.</w:t>
            </w:r>
            <w:r w:rsidRPr="00A9107A">
              <w:rPr>
                <w:b/>
                <w:lang w:eastAsia="en-US"/>
              </w:rPr>
              <w:t xml:space="preserve"> </w:t>
            </w:r>
            <w:r w:rsidRPr="00A9107A">
              <w:rPr>
                <w:sz w:val="22"/>
                <w:szCs w:val="22"/>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6D31D3C" w14:textId="77777777" w:rsidR="00A9107A" w:rsidRPr="00A9107A" w:rsidRDefault="00A9107A" w:rsidP="00A9107A">
            <w:pPr>
              <w:autoSpaceDE/>
              <w:autoSpaceDN/>
              <w:adjustRightInd w:val="0"/>
              <w:ind w:firstLine="567"/>
              <w:jc w:val="both"/>
              <w:rPr>
                <w:sz w:val="22"/>
                <w:szCs w:val="22"/>
              </w:rPr>
            </w:pPr>
            <w:r w:rsidRPr="00A9107A">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10 (Десять) процентов стоимости активов фонда.</w:t>
            </w:r>
          </w:p>
          <w:p w14:paraId="0C153F5F" w14:textId="77777777" w:rsidR="00A9107A" w:rsidRPr="00A9107A" w:rsidRDefault="00A9107A" w:rsidP="00A9107A">
            <w:pPr>
              <w:autoSpaceDE/>
              <w:autoSpaceDN/>
              <w:ind w:firstLine="567"/>
              <w:jc w:val="both"/>
              <w:rPr>
                <w:sz w:val="22"/>
                <w:szCs w:val="22"/>
              </w:rPr>
            </w:pPr>
            <w:r w:rsidRPr="00A9107A">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262CD84F" w14:textId="77777777" w:rsidR="00A9107A" w:rsidRPr="00A9107A" w:rsidRDefault="00A9107A" w:rsidP="00A9107A">
            <w:pPr>
              <w:autoSpaceDE/>
              <w:autoSpaceDN/>
              <w:ind w:firstLine="567"/>
              <w:jc w:val="both"/>
              <w:rPr>
                <w:sz w:val="22"/>
                <w:szCs w:val="22"/>
              </w:rPr>
            </w:pPr>
            <w:r w:rsidRPr="00A9107A">
              <w:rPr>
                <w:sz w:val="22"/>
                <w:szCs w:val="22"/>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6" w:history="1">
              <w:r w:rsidRPr="00A9107A">
                <w:rPr>
                  <w:sz w:val="22"/>
                  <w:szCs w:val="22"/>
                </w:rPr>
                <w:t>абзаце восьмом</w:t>
              </w:r>
            </w:hyperlink>
            <w:r w:rsidRPr="00A9107A">
              <w:rPr>
                <w:sz w:val="22"/>
                <w:szCs w:val="22"/>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w:t>
            </w:r>
            <w:r w:rsidRPr="00A9107A">
              <w:rPr>
                <w:b/>
                <w:sz w:val="24"/>
                <w:szCs w:val="24"/>
                <w:lang w:eastAsia="en-US"/>
              </w:rPr>
              <w:t xml:space="preserve"> </w:t>
            </w:r>
            <w:r w:rsidRPr="00A9107A">
              <w:rPr>
                <w:sz w:val="22"/>
                <w:szCs w:val="22"/>
                <w:lang w:eastAsia="en-US"/>
              </w:rPr>
              <w:t>а также при наличии одного из следующих обстоятельств: в соответствии с требованиями, предъявляемыми</w:t>
            </w:r>
            <w:r w:rsidRPr="00A9107A">
              <w:rPr>
                <w:sz w:val="22"/>
                <w:szCs w:val="22"/>
              </w:rPr>
              <w:t xml:space="preserve">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A9107A">
              <w:rPr>
                <w:b/>
                <w:sz w:val="24"/>
                <w:szCs w:val="24"/>
                <w:lang w:eastAsia="en-US"/>
              </w:rPr>
              <w:t xml:space="preserve"> </w:t>
            </w:r>
            <w:r w:rsidRPr="00A9107A">
              <w:rPr>
                <w:sz w:val="22"/>
                <w:szCs w:val="22"/>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21731C67" w14:textId="77777777" w:rsidR="00A9107A" w:rsidRPr="00A9107A" w:rsidRDefault="00A9107A" w:rsidP="00A9107A">
            <w:pPr>
              <w:autoSpaceDE/>
              <w:autoSpaceDN/>
              <w:ind w:firstLine="567"/>
              <w:jc w:val="both"/>
              <w:rPr>
                <w:sz w:val="22"/>
                <w:szCs w:val="22"/>
              </w:rPr>
            </w:pPr>
            <w:r w:rsidRPr="00A9107A">
              <w:rPr>
                <w:sz w:val="22"/>
                <w:szCs w:val="22"/>
              </w:rPr>
              <w:t xml:space="preserve">Для целей расчета ограничения, указанного в абзаце первом настоящего пункта, </w:t>
            </w:r>
            <w:r w:rsidRPr="00A9107A">
              <w:rPr>
                <w:sz w:val="22"/>
                <w:szCs w:val="22"/>
                <w:lang w:eastAsia="en-US"/>
              </w:rPr>
              <w:t>при определении доли оценочной стоимости активов в стоимости активов фонда</w:t>
            </w:r>
            <w:r w:rsidRPr="00A9107A">
              <w:rPr>
                <w:lang w:eastAsia="en-US"/>
              </w:rPr>
              <w:t xml:space="preserve"> </w:t>
            </w:r>
            <w:r w:rsidRPr="00A9107A">
              <w:rPr>
                <w:sz w:val="22"/>
                <w:szCs w:val="22"/>
              </w:rPr>
              <w:t xml:space="preserve">в сумме денежных средств в рублях и в иностранной валюте на счетах в одном юридическом лице </w:t>
            </w:r>
            <w:r w:rsidRPr="00A9107A">
              <w:rPr>
                <w:sz w:val="22"/>
                <w:szCs w:val="22"/>
                <w:lang w:eastAsia="en-US"/>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A9107A">
              <w:rPr>
                <w:sz w:val="22"/>
                <w:szCs w:val="22"/>
              </w:rPr>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58155CC1" w14:textId="77777777" w:rsidR="00A9107A" w:rsidRPr="00A9107A" w:rsidRDefault="00A9107A" w:rsidP="00A9107A">
            <w:pPr>
              <w:autoSpaceDE/>
              <w:autoSpaceDN/>
              <w:ind w:firstLine="567"/>
              <w:jc w:val="both"/>
              <w:rPr>
                <w:sz w:val="22"/>
                <w:szCs w:val="22"/>
              </w:rPr>
            </w:pPr>
            <w:r w:rsidRPr="00A9107A">
              <w:rPr>
                <w:sz w:val="22"/>
                <w:szCs w:val="22"/>
              </w:rPr>
              <w:t>При этом общая сумма денежных средств</w:t>
            </w:r>
            <w:r w:rsidRPr="00A9107A">
              <w:rPr>
                <w:b/>
                <w:sz w:val="24"/>
                <w:szCs w:val="24"/>
                <w:lang w:eastAsia="en-US"/>
              </w:rPr>
              <w:t xml:space="preserve"> </w:t>
            </w:r>
            <w:r w:rsidRPr="00A9107A">
              <w:rPr>
                <w:sz w:val="22"/>
                <w:szCs w:val="22"/>
                <w:lang w:eastAsia="en-US"/>
              </w:rPr>
              <w:t xml:space="preserve">и стоимость прав требований, которые не учитываются при расчете ограничения, указанного в </w:t>
            </w:r>
            <w:hyperlink r:id="rId17" w:history="1">
              <w:r w:rsidRPr="00A9107A">
                <w:rPr>
                  <w:sz w:val="22"/>
                  <w:szCs w:val="22"/>
                  <w:lang w:eastAsia="en-US"/>
                </w:rPr>
                <w:t>абзаце первом</w:t>
              </w:r>
            </w:hyperlink>
            <w:r w:rsidRPr="00A9107A">
              <w:rPr>
                <w:sz w:val="22"/>
                <w:szCs w:val="22"/>
                <w:lang w:eastAsia="en-US"/>
              </w:rPr>
              <w:t xml:space="preserve"> настоящего пункта</w:t>
            </w:r>
            <w:r w:rsidRPr="00A9107A">
              <w:rPr>
                <w:sz w:val="22"/>
                <w:szCs w:val="22"/>
              </w:rPr>
              <w:t>,  в отношении всех денежных средств в рублях и в иностранной валюте на всех счетах</w:t>
            </w:r>
            <w:r w:rsidRPr="00A9107A">
              <w:rPr>
                <w:b/>
                <w:sz w:val="24"/>
                <w:szCs w:val="24"/>
                <w:lang w:eastAsia="en-US"/>
              </w:rPr>
              <w:t xml:space="preserve"> </w:t>
            </w:r>
            <w:r w:rsidRPr="00A9107A">
              <w:rPr>
                <w:sz w:val="22"/>
                <w:szCs w:val="22"/>
                <w:lang w:eastAsia="en-US"/>
              </w:rPr>
              <w:t>и в отношении всех прав требований к юридическим лицам, возникших на основании указанных договоров о брокерском обслуживании</w:t>
            </w:r>
            <w:r w:rsidRPr="00A9107A">
              <w:rPr>
                <w:b/>
                <w:sz w:val="24"/>
                <w:szCs w:val="24"/>
                <w:lang w:eastAsia="en-US"/>
              </w:rPr>
              <w:t>,</w:t>
            </w:r>
            <w:r w:rsidRPr="00A9107A">
              <w:rPr>
                <w:sz w:val="22"/>
                <w:szCs w:val="22"/>
              </w:rPr>
              <w:t xml:space="preserve">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469440F0" w14:textId="77777777" w:rsidR="00A9107A" w:rsidRPr="00A9107A" w:rsidRDefault="00A9107A" w:rsidP="00A9107A">
            <w:pPr>
              <w:ind w:firstLine="567"/>
              <w:jc w:val="both"/>
              <w:rPr>
                <w:sz w:val="22"/>
                <w:szCs w:val="22"/>
              </w:rPr>
            </w:pPr>
            <w:r w:rsidRPr="00A9107A">
              <w:rPr>
                <w:sz w:val="22"/>
                <w:szCs w:val="22"/>
              </w:rPr>
              <w:t xml:space="preserve">Для целей расчета ограничения, указанного в </w:t>
            </w:r>
            <w:hyperlink r:id="rId18" w:history="1">
              <w:r w:rsidRPr="00A9107A">
                <w:rPr>
                  <w:sz w:val="22"/>
                  <w:szCs w:val="22"/>
                </w:rPr>
                <w:t>абзаце первом</w:t>
              </w:r>
            </w:hyperlink>
            <w:r w:rsidRPr="00A9107A">
              <w:rPr>
                <w:sz w:val="22"/>
                <w:szCs w:val="22"/>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408C1573" w14:textId="77777777" w:rsidR="00A9107A" w:rsidRPr="00A9107A" w:rsidRDefault="00A9107A" w:rsidP="00A9107A">
            <w:pPr>
              <w:autoSpaceDE/>
              <w:autoSpaceDN/>
              <w:ind w:firstLine="567"/>
              <w:jc w:val="both"/>
              <w:rPr>
                <w:sz w:val="22"/>
                <w:szCs w:val="22"/>
                <w:lang w:eastAsia="en-US"/>
              </w:rPr>
            </w:pPr>
            <w:r w:rsidRPr="00A9107A">
              <w:rPr>
                <w:sz w:val="22"/>
                <w:szCs w:val="22"/>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591FA395" w14:textId="77777777" w:rsidR="00A9107A" w:rsidRPr="00A9107A" w:rsidRDefault="00A9107A" w:rsidP="00A9107A">
            <w:pPr>
              <w:autoSpaceDE/>
              <w:autoSpaceDN/>
              <w:ind w:firstLine="567"/>
              <w:jc w:val="both"/>
              <w:rPr>
                <w:sz w:val="22"/>
                <w:szCs w:val="22"/>
                <w:lang w:eastAsia="en-US"/>
              </w:rPr>
            </w:pPr>
            <w:r w:rsidRPr="00A9107A">
              <w:rPr>
                <w:sz w:val="22"/>
                <w:szCs w:val="22"/>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2DD37DEC" w14:textId="77777777" w:rsidR="00A9107A" w:rsidRPr="00A9107A" w:rsidRDefault="00A9107A" w:rsidP="00A9107A">
            <w:pPr>
              <w:autoSpaceDE/>
              <w:autoSpaceDN/>
              <w:ind w:firstLine="567"/>
              <w:jc w:val="both"/>
              <w:rPr>
                <w:sz w:val="22"/>
                <w:szCs w:val="22"/>
                <w:lang w:eastAsia="en-US"/>
              </w:rPr>
            </w:pPr>
            <w:r w:rsidRPr="00A9107A">
              <w:rPr>
                <w:sz w:val="22"/>
                <w:szCs w:val="22"/>
                <w:lang w:eastAsia="en-US"/>
              </w:rPr>
              <w:t xml:space="preserve">Для целей настоящего пункта и пункта 23.1.4. </w:t>
            </w:r>
            <w:r w:rsidRPr="005000D7">
              <w:rPr>
                <w:sz w:val="22"/>
                <w:szCs w:val="22"/>
                <w:lang w:eastAsia="en-US"/>
              </w:rPr>
              <w:t>настоящих Правил</w:t>
            </w:r>
            <w:r w:rsidRPr="00A9107A">
              <w:rPr>
                <w:sz w:val="22"/>
                <w:szCs w:val="22"/>
                <w:lang w:eastAsia="en-US"/>
              </w:rPr>
              <w:t xml:space="preserve">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A9107A">
              <w:rPr>
                <w:sz w:val="24"/>
                <w:szCs w:val="24"/>
                <w:lang w:eastAsia="en-US"/>
              </w:rPr>
              <w:t xml:space="preserve"> </w:t>
            </w:r>
            <w:r w:rsidRPr="00A9107A">
              <w:rPr>
                <w:sz w:val="22"/>
                <w:szCs w:val="22"/>
                <w:lang w:eastAsia="en-US"/>
              </w:rPr>
              <w:t>открытой позиции, скорректированной по результатам клиринга.</w:t>
            </w:r>
          </w:p>
          <w:p w14:paraId="44D608C2" w14:textId="259284B4" w:rsidR="000864B6" w:rsidRDefault="00A9107A" w:rsidP="00A9107A">
            <w:pPr>
              <w:shd w:val="clear" w:color="auto" w:fill="FFFFFF"/>
              <w:autoSpaceDE/>
              <w:autoSpaceDN/>
              <w:spacing w:before="60" w:after="60"/>
              <w:jc w:val="both"/>
              <w:rPr>
                <w:sz w:val="22"/>
                <w:szCs w:val="22"/>
              </w:rPr>
            </w:pPr>
            <w:r w:rsidRPr="00A9107A">
              <w:rPr>
                <w:sz w:val="22"/>
                <w:szCs w:val="22"/>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301434" w:rsidRPr="00ED14F1" w14:paraId="6CEA0A5F" w14:textId="77777777" w:rsidTr="00027326">
        <w:trPr>
          <w:trHeight w:val="537"/>
        </w:trPr>
        <w:tc>
          <w:tcPr>
            <w:tcW w:w="568" w:type="dxa"/>
            <w:shd w:val="clear" w:color="auto" w:fill="auto"/>
          </w:tcPr>
          <w:p w14:paraId="533F1AC3" w14:textId="3DC91CA5" w:rsidR="00301434" w:rsidRDefault="00D776BA"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w:t>
            </w:r>
            <w:r w:rsidR="00343FE0">
              <w:rPr>
                <w:rFonts w:ascii="Times New Roman" w:hAnsi="Times New Roman" w:cs="Times New Roman"/>
                <w:kern w:val="0"/>
              </w:rPr>
              <w:t>4</w:t>
            </w:r>
          </w:p>
        </w:tc>
        <w:tc>
          <w:tcPr>
            <w:tcW w:w="1076" w:type="dxa"/>
            <w:shd w:val="clear" w:color="auto" w:fill="auto"/>
          </w:tcPr>
          <w:p w14:paraId="36F29F0E" w14:textId="726B8FF5" w:rsidR="00301434" w:rsidRDefault="00875726" w:rsidP="00576992">
            <w:pPr>
              <w:autoSpaceDE/>
              <w:autoSpaceDN/>
              <w:jc w:val="center"/>
            </w:pPr>
            <w:r>
              <w:t>23.1.4.</w:t>
            </w:r>
          </w:p>
        </w:tc>
        <w:tc>
          <w:tcPr>
            <w:tcW w:w="4170" w:type="dxa"/>
            <w:shd w:val="clear" w:color="auto" w:fill="auto"/>
            <w:vAlign w:val="center"/>
          </w:tcPr>
          <w:p w14:paraId="5C183040" w14:textId="77777777" w:rsidR="00875726" w:rsidRPr="00875726" w:rsidRDefault="00875726" w:rsidP="00875726">
            <w:pPr>
              <w:autoSpaceDE/>
              <w:autoSpaceDN/>
              <w:ind w:firstLine="567"/>
              <w:jc w:val="both"/>
              <w:rPr>
                <w:sz w:val="22"/>
                <w:szCs w:val="22"/>
                <w:lang w:eastAsia="en-US"/>
              </w:rPr>
            </w:pPr>
            <w:r w:rsidRPr="00875726">
              <w:rPr>
                <w:sz w:val="22"/>
                <w:szCs w:val="22"/>
                <w:lang w:eastAsia="en-US"/>
              </w:rPr>
              <w:t>Не менее двух третей рабочих дней в течение каждого календарного квартала совокупная оценочная стоимость следующих активов (одного или нескольких) должна составлять не менее 80% стоимости активов, составляющих фонд:</w:t>
            </w:r>
          </w:p>
          <w:p w14:paraId="26FFF579" w14:textId="77777777" w:rsidR="00875726" w:rsidRPr="00875726" w:rsidRDefault="00875726" w:rsidP="00875726">
            <w:pPr>
              <w:autoSpaceDE/>
              <w:autoSpaceDN/>
              <w:ind w:firstLine="567"/>
              <w:jc w:val="both"/>
              <w:rPr>
                <w:sz w:val="22"/>
                <w:szCs w:val="22"/>
                <w:lang w:eastAsia="en-US"/>
              </w:rPr>
            </w:pPr>
            <w:r w:rsidRPr="00875726">
              <w:rPr>
                <w:sz w:val="22"/>
                <w:szCs w:val="22"/>
                <w:lang w:eastAsia="en-US"/>
              </w:rPr>
              <w:t>23.1.4.1. облигаций, номинированные в иностранной валюте, соответствующих пункту 22 настоящих Правил (далее – целевой актив);</w:t>
            </w:r>
          </w:p>
          <w:p w14:paraId="4478DDDA" w14:textId="77777777" w:rsidR="00875726" w:rsidRPr="00875726" w:rsidRDefault="00875726" w:rsidP="00875726">
            <w:pPr>
              <w:adjustRightInd w:val="0"/>
              <w:ind w:firstLine="567"/>
              <w:jc w:val="both"/>
              <w:rPr>
                <w:sz w:val="22"/>
                <w:szCs w:val="22"/>
                <w:lang w:eastAsia="en-US"/>
              </w:rPr>
            </w:pPr>
            <w:r w:rsidRPr="00875726">
              <w:rPr>
                <w:sz w:val="22"/>
                <w:szCs w:val="22"/>
                <w:lang w:eastAsia="en-US"/>
              </w:rPr>
              <w:t xml:space="preserve">23.1.4.2. </w:t>
            </w:r>
            <w:r w:rsidRPr="00875726">
              <w:rPr>
                <w:sz w:val="22"/>
                <w:szCs w:val="22"/>
              </w:rPr>
              <w:t>российских и иностранных депозитарных расписок</w:t>
            </w:r>
            <w:r w:rsidRPr="00875726">
              <w:rPr>
                <w:sz w:val="22"/>
                <w:szCs w:val="22"/>
                <w:lang w:eastAsia="en-US"/>
              </w:rPr>
              <w:t xml:space="preserve"> на целевой актив;</w:t>
            </w:r>
          </w:p>
          <w:p w14:paraId="6BE3C531" w14:textId="77777777" w:rsidR="00875726" w:rsidRPr="00875726" w:rsidRDefault="00875726" w:rsidP="00875726">
            <w:pPr>
              <w:adjustRightInd w:val="0"/>
              <w:ind w:firstLine="567"/>
              <w:jc w:val="both"/>
              <w:rPr>
                <w:sz w:val="22"/>
                <w:szCs w:val="22"/>
                <w:lang w:eastAsia="en-US"/>
              </w:rPr>
            </w:pPr>
            <w:r w:rsidRPr="00875726">
              <w:rPr>
                <w:sz w:val="22"/>
                <w:szCs w:val="22"/>
                <w:lang w:eastAsia="en-US"/>
              </w:rPr>
              <w:t>23.1.4.3. производных финансовых инструментов, изменение стоимости которых зависит от изменения стоимости целевого актива (в том числе от изменения значения индикатора (индекса), рассчитываемого исходя из стоимости целевого актива);</w:t>
            </w:r>
          </w:p>
          <w:p w14:paraId="1C10D034" w14:textId="77777777" w:rsidR="00875726" w:rsidRPr="00875726" w:rsidRDefault="00875726" w:rsidP="00875726">
            <w:pPr>
              <w:adjustRightInd w:val="0"/>
              <w:ind w:firstLine="567"/>
              <w:jc w:val="both"/>
              <w:rPr>
                <w:sz w:val="22"/>
                <w:szCs w:val="22"/>
                <w:lang w:eastAsia="en-US"/>
              </w:rPr>
            </w:pPr>
            <w:r w:rsidRPr="00875726">
              <w:rPr>
                <w:sz w:val="22"/>
                <w:szCs w:val="22"/>
                <w:lang w:eastAsia="en-US"/>
              </w:rPr>
              <w:t xml:space="preserve">23.1.4.3. инвестиционных паев паевых инвестиционных фондов, паев (акций) иностранных инвестиционных фондов, инвестиционными декларациями которых предусмотрено следование их доходности стоимости активов, указанных в пунктах 23.1.4.1-23.1.4.3. настоящих Правил, или значению индикатора (индекса), рассчитываемого исходя из стоимости активов, указанных в пунктах 23.1.4.1. -23.1.4.3. настоящих Правил. </w:t>
            </w:r>
          </w:p>
          <w:p w14:paraId="4C1027D7" w14:textId="77777777" w:rsidR="00875726" w:rsidRPr="00875726" w:rsidRDefault="00875726" w:rsidP="00875726">
            <w:pPr>
              <w:adjustRightInd w:val="0"/>
              <w:ind w:firstLine="539"/>
              <w:jc w:val="both"/>
              <w:rPr>
                <w:sz w:val="22"/>
                <w:szCs w:val="22"/>
              </w:rPr>
            </w:pPr>
            <w:r w:rsidRPr="00875726">
              <w:rPr>
                <w:sz w:val="22"/>
                <w:szCs w:val="22"/>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14CCAB5D" w14:textId="0A367A68" w:rsidR="00301434" w:rsidRPr="00A163AB" w:rsidRDefault="00875726" w:rsidP="00914566">
            <w:pPr>
              <w:ind w:firstLine="539"/>
              <w:jc w:val="both"/>
              <w:rPr>
                <w:sz w:val="22"/>
                <w:szCs w:val="22"/>
              </w:rPr>
            </w:pPr>
            <w:r w:rsidRPr="00875726">
              <w:rPr>
                <w:sz w:val="22"/>
                <w:szCs w:val="22"/>
              </w:rPr>
              <w:t>В случае применения настоящего пункта за период, меньший, чем календарный квартал, количество дней, в течение которых состав активов фонда должен соответствовать заявленной структуре, уменьшается пропорционально.</w:t>
            </w:r>
          </w:p>
        </w:tc>
        <w:tc>
          <w:tcPr>
            <w:tcW w:w="4253" w:type="dxa"/>
            <w:shd w:val="clear" w:color="auto" w:fill="auto"/>
            <w:vAlign w:val="center"/>
          </w:tcPr>
          <w:p w14:paraId="23A10B1A" w14:textId="77777777" w:rsidR="009323F7" w:rsidRPr="009323F7" w:rsidRDefault="009323F7" w:rsidP="009323F7">
            <w:pPr>
              <w:autoSpaceDE/>
              <w:autoSpaceDN/>
              <w:ind w:firstLine="567"/>
              <w:jc w:val="both"/>
              <w:rPr>
                <w:sz w:val="22"/>
                <w:szCs w:val="22"/>
                <w:lang w:eastAsia="en-US"/>
              </w:rPr>
            </w:pPr>
            <w:r w:rsidRPr="009323F7">
              <w:rPr>
                <w:sz w:val="22"/>
                <w:szCs w:val="22"/>
                <w:lang w:eastAsia="en-US"/>
              </w:rPr>
              <w:t>Не менее двух третей рабочих дней в течение каждого календарного квартала совокупная оценочная стоимость следующих активов (одного или нескольких) должна составлять не менее 80% стоимости активов, составляющих фонд:</w:t>
            </w:r>
          </w:p>
          <w:p w14:paraId="7433B331" w14:textId="77777777" w:rsidR="009323F7" w:rsidRPr="009323F7" w:rsidRDefault="009323F7" w:rsidP="009323F7">
            <w:pPr>
              <w:autoSpaceDE/>
              <w:autoSpaceDN/>
              <w:ind w:firstLine="567"/>
              <w:jc w:val="both"/>
              <w:rPr>
                <w:sz w:val="22"/>
                <w:szCs w:val="22"/>
                <w:lang w:eastAsia="en-US"/>
              </w:rPr>
            </w:pPr>
            <w:r w:rsidRPr="009323F7">
              <w:rPr>
                <w:sz w:val="22"/>
                <w:szCs w:val="22"/>
                <w:lang w:eastAsia="en-US"/>
              </w:rPr>
              <w:t>23.1.4.1. облигаций, номинированных в иностранной валюте (далее – целевой актив);</w:t>
            </w:r>
          </w:p>
          <w:p w14:paraId="7E6E5B54" w14:textId="39B28094" w:rsidR="009323F7" w:rsidRPr="009323F7" w:rsidRDefault="009323F7" w:rsidP="009323F7">
            <w:pPr>
              <w:adjustRightInd w:val="0"/>
              <w:ind w:firstLine="567"/>
              <w:jc w:val="both"/>
              <w:rPr>
                <w:sz w:val="22"/>
                <w:szCs w:val="22"/>
                <w:lang w:eastAsia="en-US"/>
              </w:rPr>
            </w:pPr>
            <w:r w:rsidRPr="009323F7">
              <w:rPr>
                <w:sz w:val="22"/>
                <w:szCs w:val="22"/>
                <w:lang w:eastAsia="en-US"/>
              </w:rPr>
              <w:t xml:space="preserve">23.1.4.2. </w:t>
            </w:r>
            <w:r w:rsidRPr="009323F7">
              <w:rPr>
                <w:sz w:val="22"/>
                <w:szCs w:val="22"/>
              </w:rPr>
              <w:t>российских (иностранных) депозитарных расписок, удостоверя</w:t>
            </w:r>
            <w:r w:rsidR="00726AEB">
              <w:rPr>
                <w:sz w:val="22"/>
                <w:szCs w:val="22"/>
              </w:rPr>
              <w:t>ю</w:t>
            </w:r>
            <w:r w:rsidRPr="009323F7">
              <w:rPr>
                <w:sz w:val="22"/>
                <w:szCs w:val="22"/>
              </w:rPr>
              <w:t>щих права</w:t>
            </w:r>
            <w:r w:rsidRPr="009323F7">
              <w:rPr>
                <w:sz w:val="22"/>
                <w:szCs w:val="22"/>
                <w:lang w:eastAsia="en-US"/>
              </w:rPr>
              <w:t xml:space="preserve"> на целевой актив;</w:t>
            </w:r>
          </w:p>
          <w:p w14:paraId="6AB2A185" w14:textId="77777777" w:rsidR="009323F7" w:rsidRPr="009323F7" w:rsidRDefault="009323F7" w:rsidP="009323F7">
            <w:pPr>
              <w:adjustRightInd w:val="0"/>
              <w:ind w:firstLine="567"/>
              <w:jc w:val="both"/>
              <w:rPr>
                <w:sz w:val="22"/>
                <w:szCs w:val="22"/>
                <w:lang w:eastAsia="en-US"/>
              </w:rPr>
            </w:pPr>
            <w:r w:rsidRPr="009323F7">
              <w:rPr>
                <w:sz w:val="22"/>
                <w:szCs w:val="22"/>
                <w:lang w:eastAsia="en-US"/>
              </w:rPr>
              <w:t>23.1.4.3. производных финансовых инструментов, изменение стоимости которых зависит от изменения стоимости целевого актива (в том числе от изменения значения индикатора (индекса), рассчитываемого исходя из стоимости целевого актива);</w:t>
            </w:r>
          </w:p>
          <w:p w14:paraId="61EB5CD5" w14:textId="77777777" w:rsidR="009323F7" w:rsidRPr="009323F7" w:rsidRDefault="009323F7" w:rsidP="009323F7">
            <w:pPr>
              <w:adjustRightInd w:val="0"/>
              <w:ind w:firstLine="567"/>
              <w:jc w:val="both"/>
              <w:rPr>
                <w:sz w:val="22"/>
                <w:szCs w:val="22"/>
                <w:lang w:eastAsia="en-US"/>
              </w:rPr>
            </w:pPr>
            <w:r w:rsidRPr="009323F7">
              <w:rPr>
                <w:sz w:val="22"/>
                <w:szCs w:val="22"/>
                <w:lang w:eastAsia="en-US"/>
              </w:rPr>
              <w:t xml:space="preserve">23.1.4.4. инвестиционных паев паевых инвестиционных фондов (ценных бумаг иностранных инвестиционных фондов), инвестиционными декларациями которых предусмотрено следование их доходности стоимости активов, указанных в пунктах 23.1.4.1-23.1.4.3. настоящих Правил, или значению индикатора (индекса), рассчитываемого исходя из стоимости активов, указанных в пунктах 23.1.4.1. -23.1.4.3. настоящих Правил. </w:t>
            </w:r>
          </w:p>
          <w:p w14:paraId="1D553857" w14:textId="77777777" w:rsidR="009323F7" w:rsidRPr="009323F7" w:rsidRDefault="009323F7" w:rsidP="009323F7">
            <w:pPr>
              <w:adjustRightInd w:val="0"/>
              <w:ind w:firstLine="539"/>
              <w:jc w:val="both"/>
              <w:rPr>
                <w:sz w:val="22"/>
                <w:szCs w:val="22"/>
              </w:rPr>
            </w:pPr>
            <w:r w:rsidRPr="009323F7">
              <w:rPr>
                <w:sz w:val="22"/>
                <w:szCs w:val="22"/>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695F16BA" w14:textId="77777777" w:rsidR="009323F7" w:rsidRPr="009323F7" w:rsidRDefault="009323F7" w:rsidP="009323F7">
            <w:pPr>
              <w:ind w:firstLine="539"/>
              <w:jc w:val="both"/>
              <w:rPr>
                <w:sz w:val="22"/>
                <w:szCs w:val="22"/>
              </w:rPr>
            </w:pPr>
            <w:r w:rsidRPr="009323F7">
              <w:rPr>
                <w:sz w:val="22"/>
                <w:szCs w:val="22"/>
              </w:rPr>
              <w:t>В случае применения настоящего пункта за период, меньший, чем календарный квартал, количество дней, в течение которых состав активов фонда должен соответствовать заявленной структуре, уменьшается пропорционально.</w:t>
            </w:r>
          </w:p>
          <w:p w14:paraId="0AD6C902" w14:textId="6F838931" w:rsidR="00301434" w:rsidRPr="00875726" w:rsidRDefault="00301434" w:rsidP="006257C8">
            <w:pPr>
              <w:shd w:val="clear" w:color="auto" w:fill="FFFFFF"/>
              <w:autoSpaceDE/>
              <w:autoSpaceDN/>
              <w:spacing w:before="60" w:after="60"/>
              <w:jc w:val="both"/>
              <w:rPr>
                <w:b/>
                <w:sz w:val="22"/>
                <w:szCs w:val="22"/>
              </w:rPr>
            </w:pPr>
          </w:p>
        </w:tc>
      </w:tr>
      <w:tr w:rsidR="000C2946" w:rsidRPr="001A1A25" w14:paraId="352EF49C" w14:textId="77777777" w:rsidTr="00D91F4E">
        <w:trPr>
          <w:trHeight w:val="537"/>
        </w:trPr>
        <w:tc>
          <w:tcPr>
            <w:tcW w:w="568" w:type="dxa"/>
            <w:shd w:val="clear" w:color="auto" w:fill="auto"/>
          </w:tcPr>
          <w:p w14:paraId="57CB8F14" w14:textId="48B27AC6" w:rsidR="000C2946" w:rsidRPr="001A1A25" w:rsidRDefault="000C2946"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w:t>
            </w:r>
            <w:r w:rsidR="00343FE0">
              <w:rPr>
                <w:rFonts w:ascii="Times New Roman" w:hAnsi="Times New Roman" w:cs="Times New Roman"/>
                <w:kern w:val="0"/>
              </w:rPr>
              <w:t>5</w:t>
            </w:r>
          </w:p>
        </w:tc>
        <w:tc>
          <w:tcPr>
            <w:tcW w:w="1076" w:type="dxa"/>
            <w:shd w:val="clear" w:color="auto" w:fill="auto"/>
          </w:tcPr>
          <w:p w14:paraId="373CD3AC" w14:textId="5DABCB28" w:rsidR="000C2946" w:rsidRPr="001A1A25" w:rsidRDefault="000C2946" w:rsidP="00576992">
            <w:pPr>
              <w:autoSpaceDE/>
              <w:autoSpaceDN/>
              <w:jc w:val="center"/>
            </w:pPr>
          </w:p>
        </w:tc>
        <w:tc>
          <w:tcPr>
            <w:tcW w:w="8423" w:type="dxa"/>
            <w:gridSpan w:val="2"/>
            <w:shd w:val="clear" w:color="auto" w:fill="auto"/>
            <w:vAlign w:val="center"/>
          </w:tcPr>
          <w:p w14:paraId="02DB1623" w14:textId="0806523D" w:rsidR="000C2946" w:rsidRPr="000C2946" w:rsidRDefault="000C2946" w:rsidP="00A93561">
            <w:pPr>
              <w:pStyle w:val="prg3"/>
              <w:numPr>
                <w:ilvl w:val="0"/>
                <w:numId w:val="0"/>
              </w:numPr>
              <w:rPr>
                <w:rFonts w:ascii="Times New Roman" w:hAnsi="Times New Roman" w:cs="Times New Roman"/>
                <w:sz w:val="22"/>
                <w:szCs w:val="22"/>
              </w:rPr>
            </w:pPr>
            <w:r w:rsidRPr="000C2946">
              <w:rPr>
                <w:rFonts w:ascii="Times New Roman" w:hAnsi="Times New Roman" w:cs="Times New Roman"/>
                <w:sz w:val="22"/>
                <w:szCs w:val="22"/>
              </w:rPr>
              <w:t>Добавить пункты 23.2 и 23.3 следующего содержания:</w:t>
            </w:r>
          </w:p>
          <w:p w14:paraId="23EF73EC" w14:textId="4920FCD7" w:rsidR="000C2946" w:rsidRPr="000C2946" w:rsidRDefault="00A5210E" w:rsidP="00A93561">
            <w:pPr>
              <w:pStyle w:val="prg3"/>
              <w:numPr>
                <w:ilvl w:val="0"/>
                <w:numId w:val="0"/>
              </w:numPr>
              <w:rPr>
                <w:rFonts w:ascii="Times New Roman" w:hAnsi="Times New Roman" w:cs="Times New Roman"/>
                <w:sz w:val="22"/>
                <w:szCs w:val="22"/>
              </w:rPr>
            </w:pPr>
            <w:r>
              <w:rPr>
                <w:rFonts w:ascii="Times New Roman" w:hAnsi="Times New Roman" w:cs="Times New Roman"/>
                <w:sz w:val="22"/>
                <w:szCs w:val="22"/>
              </w:rPr>
              <w:t xml:space="preserve">        </w:t>
            </w:r>
            <w:r w:rsidR="000C2946" w:rsidRPr="000C2946">
              <w:rPr>
                <w:rFonts w:ascii="Times New Roman" w:hAnsi="Times New Roman" w:cs="Times New Roman"/>
                <w:sz w:val="22"/>
                <w:szCs w:val="22"/>
              </w:rPr>
              <w:t>23.2. Оценочная стоимость ценных бумаг, предназначенных для квалифицированных инвесторов, не должна превышать 40 процентов стоимости активов фонда.</w:t>
            </w:r>
          </w:p>
          <w:p w14:paraId="682D8407" w14:textId="03CBB91D" w:rsidR="000C2946" w:rsidRPr="000C2946" w:rsidRDefault="000C2946" w:rsidP="00914566">
            <w:pPr>
              <w:spacing w:before="220"/>
              <w:ind w:firstLine="540"/>
              <w:jc w:val="both"/>
              <w:rPr>
                <w:rFonts w:asciiTheme="minorHAnsi" w:hAnsiTheme="minorHAnsi"/>
                <w:sz w:val="22"/>
                <w:szCs w:val="22"/>
              </w:rPr>
            </w:pPr>
            <w:r w:rsidRPr="000C2946">
              <w:rPr>
                <w:sz w:val="22"/>
                <w:szCs w:val="22"/>
              </w:rPr>
              <w:t>23.3. 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r>
              <w:rPr>
                <w:rFonts w:asciiTheme="minorHAnsi" w:hAnsiTheme="minorHAnsi"/>
                <w:sz w:val="22"/>
                <w:szCs w:val="22"/>
              </w:rPr>
              <w:t xml:space="preserve"> </w:t>
            </w:r>
          </w:p>
        </w:tc>
      </w:tr>
      <w:tr w:rsidR="00CB6009" w:rsidRPr="001A1A25" w14:paraId="2250B0CB" w14:textId="77777777" w:rsidTr="00D91F4E">
        <w:trPr>
          <w:trHeight w:val="537"/>
        </w:trPr>
        <w:tc>
          <w:tcPr>
            <w:tcW w:w="568" w:type="dxa"/>
            <w:shd w:val="clear" w:color="auto" w:fill="auto"/>
          </w:tcPr>
          <w:p w14:paraId="29331BF6" w14:textId="5F556B0A" w:rsidR="00CB6009" w:rsidRDefault="00A5210E" w:rsidP="00576992">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t>1</w:t>
            </w:r>
            <w:r w:rsidR="00343FE0">
              <w:rPr>
                <w:rFonts w:ascii="Times New Roman" w:hAnsi="Times New Roman" w:cs="Times New Roman"/>
                <w:kern w:val="0"/>
              </w:rPr>
              <w:t>6</w:t>
            </w:r>
          </w:p>
        </w:tc>
        <w:tc>
          <w:tcPr>
            <w:tcW w:w="1076" w:type="dxa"/>
            <w:shd w:val="clear" w:color="auto" w:fill="auto"/>
          </w:tcPr>
          <w:p w14:paraId="28C47F9D" w14:textId="77777777" w:rsidR="00CB6009" w:rsidRDefault="00CB6009" w:rsidP="00576992">
            <w:pPr>
              <w:autoSpaceDE/>
              <w:autoSpaceDN/>
              <w:jc w:val="center"/>
            </w:pPr>
          </w:p>
        </w:tc>
        <w:tc>
          <w:tcPr>
            <w:tcW w:w="8423" w:type="dxa"/>
            <w:gridSpan w:val="2"/>
            <w:shd w:val="clear" w:color="auto" w:fill="auto"/>
            <w:vAlign w:val="center"/>
          </w:tcPr>
          <w:p w14:paraId="318DA71C" w14:textId="305377BE" w:rsidR="00CB6009" w:rsidRPr="00374DED" w:rsidRDefault="00CB6009" w:rsidP="00914566">
            <w:pPr>
              <w:shd w:val="clear" w:color="auto" w:fill="FFFFFF"/>
              <w:autoSpaceDE/>
              <w:autoSpaceDN/>
              <w:spacing w:before="60" w:after="60"/>
              <w:jc w:val="both"/>
              <w:rPr>
                <w:b/>
                <w:sz w:val="22"/>
                <w:szCs w:val="22"/>
              </w:rPr>
            </w:pPr>
            <w:r>
              <w:rPr>
                <w:sz w:val="22"/>
                <w:szCs w:val="22"/>
                <w:lang w:eastAsia="en-US"/>
              </w:rPr>
              <w:t>Изменить нумерацию пунктов</w:t>
            </w:r>
            <w:r w:rsidR="00BE79E3">
              <w:rPr>
                <w:sz w:val="22"/>
                <w:szCs w:val="22"/>
                <w:lang w:eastAsia="en-US"/>
              </w:rPr>
              <w:t xml:space="preserve"> 23.2</w:t>
            </w:r>
            <w:r w:rsidR="000C2946">
              <w:rPr>
                <w:sz w:val="22"/>
                <w:szCs w:val="22"/>
                <w:lang w:eastAsia="en-US"/>
              </w:rPr>
              <w:t xml:space="preserve"> и</w:t>
            </w:r>
            <w:r w:rsidR="00BE79E3">
              <w:rPr>
                <w:sz w:val="22"/>
                <w:szCs w:val="22"/>
                <w:lang w:eastAsia="en-US"/>
              </w:rPr>
              <w:t xml:space="preserve"> 23</w:t>
            </w:r>
            <w:r>
              <w:rPr>
                <w:sz w:val="22"/>
                <w:szCs w:val="22"/>
                <w:lang w:eastAsia="en-US"/>
              </w:rPr>
              <w:t>.</w:t>
            </w:r>
            <w:r w:rsidR="00BE79E3">
              <w:rPr>
                <w:sz w:val="22"/>
                <w:szCs w:val="22"/>
                <w:lang w:eastAsia="en-US"/>
              </w:rPr>
              <w:t>3</w:t>
            </w:r>
            <w:r>
              <w:rPr>
                <w:sz w:val="22"/>
                <w:szCs w:val="22"/>
                <w:lang w:eastAsia="en-US"/>
              </w:rPr>
              <w:t xml:space="preserve"> на</w:t>
            </w:r>
            <w:r w:rsidR="000C2946">
              <w:rPr>
                <w:sz w:val="22"/>
                <w:szCs w:val="22"/>
                <w:lang w:eastAsia="en-US"/>
              </w:rPr>
              <w:t xml:space="preserve"> 23.4 и </w:t>
            </w:r>
            <w:r w:rsidR="00BE79E3">
              <w:rPr>
                <w:sz w:val="22"/>
                <w:szCs w:val="22"/>
                <w:lang w:eastAsia="en-US"/>
              </w:rPr>
              <w:t>23</w:t>
            </w:r>
            <w:r>
              <w:rPr>
                <w:sz w:val="22"/>
                <w:szCs w:val="22"/>
                <w:lang w:eastAsia="en-US"/>
              </w:rPr>
              <w:t>.</w:t>
            </w:r>
            <w:r w:rsidR="000C2946">
              <w:rPr>
                <w:sz w:val="22"/>
                <w:szCs w:val="22"/>
                <w:lang w:eastAsia="en-US"/>
              </w:rPr>
              <w:t>5</w:t>
            </w:r>
            <w:r>
              <w:rPr>
                <w:sz w:val="22"/>
                <w:szCs w:val="22"/>
                <w:lang w:eastAsia="en-US"/>
              </w:rPr>
              <w:t xml:space="preserve"> соответственно. </w:t>
            </w:r>
          </w:p>
        </w:tc>
      </w:tr>
    </w:tbl>
    <w:p w14:paraId="656AC602" w14:textId="77777777" w:rsidR="00027326" w:rsidRDefault="00027326"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14:paraId="4C3B238D" w14:textId="77777777"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027326">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14:paraId="13CFB67C" w14:textId="77777777"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proofErr w:type="gramStart"/>
      <w:r w:rsidRPr="00C46077">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w:t>
      </w:r>
      <w:proofErr w:type="gramEnd"/>
      <w:r w:rsidRPr="00C46077">
        <w:rPr>
          <w:rFonts w:ascii="Times New Roman" w:hAnsi="Times New Roman" w:cs="Times New Roman"/>
          <w:sz w:val="22"/>
          <w:szCs w:val="22"/>
          <w:lang w:val="ru-RU"/>
        </w:rPr>
        <w:t xml:space="preserve">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E53437">
        <w:rPr>
          <w:rFonts w:ascii="Times New Roman" w:hAnsi="Times New Roman" w:cs="Times New Roman"/>
          <w:sz w:val="22"/>
          <w:szCs w:val="22"/>
          <w:lang w:val="ru-RU"/>
        </w:rPr>
        <w:t xml:space="preserve">                </w:t>
      </w:r>
      <w:r w:rsidR="00027326">
        <w:rPr>
          <w:rFonts w:ascii="Times New Roman" w:hAnsi="Times New Roman" w:cs="Times New Roman"/>
          <w:sz w:val="22"/>
          <w:szCs w:val="22"/>
          <w:lang w:val="ru-RU"/>
        </w:rPr>
        <w:t>Д.Н. Тимофеев</w:t>
      </w:r>
    </w:p>
    <w:sectPr w:rsidR="00F91719" w:rsidRPr="00313DC0" w:rsidSect="008F294C">
      <w:footerReference w:type="default" r:id="rId19"/>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2A85D" w14:textId="77777777" w:rsidR="00D91F4E" w:rsidRDefault="00D91F4E" w:rsidP="009C0A43">
      <w:pPr>
        <w:pStyle w:val="BodyNum"/>
      </w:pPr>
      <w:r>
        <w:separator/>
      </w:r>
    </w:p>
  </w:endnote>
  <w:endnote w:type="continuationSeparator" w:id="0">
    <w:p w14:paraId="36877238" w14:textId="77777777" w:rsidR="00D91F4E" w:rsidRDefault="00D91F4E"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5EE9" w14:textId="6120F6DC" w:rsidR="00D36193" w:rsidRDefault="00DF4E75">
    <w:pPr>
      <w:pStyle w:val="ae"/>
      <w:jc w:val="right"/>
    </w:pPr>
    <w:r>
      <w:fldChar w:fldCharType="begin"/>
    </w:r>
    <w:r>
      <w:instrText xml:space="preserve"> PAGE   \* MERGEFORMAT </w:instrText>
    </w:r>
    <w:r>
      <w:fldChar w:fldCharType="separate"/>
    </w:r>
    <w:r w:rsidR="00F729D0">
      <w:rPr>
        <w:noProof/>
      </w:rPr>
      <w:t>2</w:t>
    </w:r>
    <w:r>
      <w:rPr>
        <w:noProof/>
      </w:rPr>
      <w:fldChar w:fldCharType="end"/>
    </w:r>
  </w:p>
  <w:p w14:paraId="13A1E312" w14:textId="77777777" w:rsidR="00D36193" w:rsidRDefault="00D361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53882" w14:textId="77777777" w:rsidR="00D91F4E" w:rsidRDefault="00D91F4E" w:rsidP="009C0A43">
      <w:pPr>
        <w:pStyle w:val="BodyNum"/>
      </w:pPr>
      <w:r>
        <w:separator/>
      </w:r>
    </w:p>
  </w:footnote>
  <w:footnote w:type="continuationSeparator" w:id="0">
    <w:p w14:paraId="1D21879B" w14:textId="77777777" w:rsidR="00D91F4E" w:rsidRDefault="00D91F4E"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D854FDC"/>
    <w:multiLevelType w:val="multilevel"/>
    <w:tmpl w:val="F754D320"/>
    <w:lvl w:ilvl="0">
      <w:start w:val="2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35870"/>
    <w:multiLevelType w:val="hybridMultilevel"/>
    <w:tmpl w:val="38D0F3A6"/>
    <w:lvl w:ilvl="0" w:tplc="EC447D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D065B6"/>
    <w:multiLevelType w:val="hybridMultilevel"/>
    <w:tmpl w:val="7B32C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 w15:restartNumberingAfterBreak="0">
    <w:nsid w:val="53B75382"/>
    <w:multiLevelType w:val="multilevel"/>
    <w:tmpl w:val="BBBC9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8317D86"/>
    <w:multiLevelType w:val="hybridMultilevel"/>
    <w:tmpl w:val="8A78B92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EC0BBF"/>
    <w:multiLevelType w:val="multilevel"/>
    <w:tmpl w:val="C5C6E0C2"/>
    <w:lvl w:ilvl="0">
      <w:start w:val="2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E2E7588"/>
    <w:multiLevelType w:val="hybridMultilevel"/>
    <w:tmpl w:val="466E6A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0A5D"/>
    <w:rsid w:val="00000ECB"/>
    <w:rsid w:val="00001F79"/>
    <w:rsid w:val="00003760"/>
    <w:rsid w:val="000069BF"/>
    <w:rsid w:val="000069D2"/>
    <w:rsid w:val="00012071"/>
    <w:rsid w:val="000129BE"/>
    <w:rsid w:val="000171F1"/>
    <w:rsid w:val="000207DA"/>
    <w:rsid w:val="000220D6"/>
    <w:rsid w:val="0002373E"/>
    <w:rsid w:val="00025B64"/>
    <w:rsid w:val="00027326"/>
    <w:rsid w:val="00030701"/>
    <w:rsid w:val="0003296B"/>
    <w:rsid w:val="000331B7"/>
    <w:rsid w:val="000362E0"/>
    <w:rsid w:val="000371B3"/>
    <w:rsid w:val="00041EE8"/>
    <w:rsid w:val="000421C2"/>
    <w:rsid w:val="00042FA0"/>
    <w:rsid w:val="00044418"/>
    <w:rsid w:val="00047A7A"/>
    <w:rsid w:val="00053103"/>
    <w:rsid w:val="00053230"/>
    <w:rsid w:val="00055E8F"/>
    <w:rsid w:val="00056637"/>
    <w:rsid w:val="00056FA7"/>
    <w:rsid w:val="000619CF"/>
    <w:rsid w:val="00061EFC"/>
    <w:rsid w:val="00062505"/>
    <w:rsid w:val="00065D33"/>
    <w:rsid w:val="00067FD4"/>
    <w:rsid w:val="000729E9"/>
    <w:rsid w:val="0007749A"/>
    <w:rsid w:val="000778AF"/>
    <w:rsid w:val="000845D2"/>
    <w:rsid w:val="00084687"/>
    <w:rsid w:val="000864B6"/>
    <w:rsid w:val="0008790C"/>
    <w:rsid w:val="00091CBE"/>
    <w:rsid w:val="00092992"/>
    <w:rsid w:val="00093551"/>
    <w:rsid w:val="00094AFF"/>
    <w:rsid w:val="00097F16"/>
    <w:rsid w:val="000B1020"/>
    <w:rsid w:val="000B12AE"/>
    <w:rsid w:val="000B152B"/>
    <w:rsid w:val="000B283B"/>
    <w:rsid w:val="000B433E"/>
    <w:rsid w:val="000B45F6"/>
    <w:rsid w:val="000B51A8"/>
    <w:rsid w:val="000C0E0C"/>
    <w:rsid w:val="000C19F9"/>
    <w:rsid w:val="000C1E44"/>
    <w:rsid w:val="000C2946"/>
    <w:rsid w:val="000C32C8"/>
    <w:rsid w:val="000C4080"/>
    <w:rsid w:val="000C4842"/>
    <w:rsid w:val="000D01EB"/>
    <w:rsid w:val="000D0589"/>
    <w:rsid w:val="000D14B8"/>
    <w:rsid w:val="000D1576"/>
    <w:rsid w:val="000D218A"/>
    <w:rsid w:val="000D3A26"/>
    <w:rsid w:val="000D6120"/>
    <w:rsid w:val="000E33AB"/>
    <w:rsid w:val="000E7B4F"/>
    <w:rsid w:val="000F041C"/>
    <w:rsid w:val="000F1FA7"/>
    <w:rsid w:val="000F372B"/>
    <w:rsid w:val="000F54C1"/>
    <w:rsid w:val="000F58F7"/>
    <w:rsid w:val="000F7B75"/>
    <w:rsid w:val="0010533C"/>
    <w:rsid w:val="00110157"/>
    <w:rsid w:val="00110A96"/>
    <w:rsid w:val="00111B48"/>
    <w:rsid w:val="00111D8D"/>
    <w:rsid w:val="001129A7"/>
    <w:rsid w:val="001135AD"/>
    <w:rsid w:val="00113A8E"/>
    <w:rsid w:val="00114FC9"/>
    <w:rsid w:val="001152A2"/>
    <w:rsid w:val="00115D3D"/>
    <w:rsid w:val="00115EDC"/>
    <w:rsid w:val="001161CE"/>
    <w:rsid w:val="00117F42"/>
    <w:rsid w:val="00120F3E"/>
    <w:rsid w:val="001218D6"/>
    <w:rsid w:val="001228CF"/>
    <w:rsid w:val="00123051"/>
    <w:rsid w:val="0012450D"/>
    <w:rsid w:val="00126A50"/>
    <w:rsid w:val="00126B2D"/>
    <w:rsid w:val="00126F73"/>
    <w:rsid w:val="00127357"/>
    <w:rsid w:val="00130CF5"/>
    <w:rsid w:val="001324E4"/>
    <w:rsid w:val="00140951"/>
    <w:rsid w:val="001414B0"/>
    <w:rsid w:val="00142D36"/>
    <w:rsid w:val="00147924"/>
    <w:rsid w:val="0015183B"/>
    <w:rsid w:val="0015367B"/>
    <w:rsid w:val="00153F15"/>
    <w:rsid w:val="00154565"/>
    <w:rsid w:val="00155879"/>
    <w:rsid w:val="0015723A"/>
    <w:rsid w:val="00157FDD"/>
    <w:rsid w:val="001605B7"/>
    <w:rsid w:val="00174D16"/>
    <w:rsid w:val="00177E74"/>
    <w:rsid w:val="001808A9"/>
    <w:rsid w:val="00180A12"/>
    <w:rsid w:val="00181934"/>
    <w:rsid w:val="00181D4D"/>
    <w:rsid w:val="0018705F"/>
    <w:rsid w:val="00190BC5"/>
    <w:rsid w:val="001932BA"/>
    <w:rsid w:val="001937FD"/>
    <w:rsid w:val="001960CD"/>
    <w:rsid w:val="00196B86"/>
    <w:rsid w:val="001A035C"/>
    <w:rsid w:val="001A1829"/>
    <w:rsid w:val="001A1A25"/>
    <w:rsid w:val="001A35C5"/>
    <w:rsid w:val="001A3794"/>
    <w:rsid w:val="001A6E54"/>
    <w:rsid w:val="001A7200"/>
    <w:rsid w:val="001A7E84"/>
    <w:rsid w:val="001B0EF9"/>
    <w:rsid w:val="001B1DF2"/>
    <w:rsid w:val="001B1E2F"/>
    <w:rsid w:val="001B23AA"/>
    <w:rsid w:val="001B3CE7"/>
    <w:rsid w:val="001B40F9"/>
    <w:rsid w:val="001C04B4"/>
    <w:rsid w:val="001C2197"/>
    <w:rsid w:val="001C60E8"/>
    <w:rsid w:val="001C6FDA"/>
    <w:rsid w:val="001C707C"/>
    <w:rsid w:val="001D3610"/>
    <w:rsid w:val="001D5D96"/>
    <w:rsid w:val="001D781A"/>
    <w:rsid w:val="001D7AA4"/>
    <w:rsid w:val="001E1070"/>
    <w:rsid w:val="001E2726"/>
    <w:rsid w:val="001E4954"/>
    <w:rsid w:val="001E514E"/>
    <w:rsid w:val="001E6976"/>
    <w:rsid w:val="001E6CD0"/>
    <w:rsid w:val="001F04BE"/>
    <w:rsid w:val="001F468A"/>
    <w:rsid w:val="001F4BDB"/>
    <w:rsid w:val="001F594F"/>
    <w:rsid w:val="0020226A"/>
    <w:rsid w:val="00202CFA"/>
    <w:rsid w:val="00203110"/>
    <w:rsid w:val="002037B1"/>
    <w:rsid w:val="00203ACE"/>
    <w:rsid w:val="00205BE4"/>
    <w:rsid w:val="00206562"/>
    <w:rsid w:val="00212CA7"/>
    <w:rsid w:val="00216313"/>
    <w:rsid w:val="002164BC"/>
    <w:rsid w:val="002254BE"/>
    <w:rsid w:val="00227175"/>
    <w:rsid w:val="0023170C"/>
    <w:rsid w:val="00231947"/>
    <w:rsid w:val="00232022"/>
    <w:rsid w:val="00233BFF"/>
    <w:rsid w:val="00234BFC"/>
    <w:rsid w:val="00235BA5"/>
    <w:rsid w:val="0023781C"/>
    <w:rsid w:val="0024003F"/>
    <w:rsid w:val="002439F2"/>
    <w:rsid w:val="00244E7F"/>
    <w:rsid w:val="00245CE0"/>
    <w:rsid w:val="002461E8"/>
    <w:rsid w:val="00246A04"/>
    <w:rsid w:val="002518DD"/>
    <w:rsid w:val="00254340"/>
    <w:rsid w:val="00264B0C"/>
    <w:rsid w:val="00266080"/>
    <w:rsid w:val="002663F4"/>
    <w:rsid w:val="00267BA2"/>
    <w:rsid w:val="00270024"/>
    <w:rsid w:val="0027172E"/>
    <w:rsid w:val="00272833"/>
    <w:rsid w:val="00273D5F"/>
    <w:rsid w:val="00274BC0"/>
    <w:rsid w:val="00280FA8"/>
    <w:rsid w:val="00281E65"/>
    <w:rsid w:val="00285BD7"/>
    <w:rsid w:val="00287E5B"/>
    <w:rsid w:val="002902CE"/>
    <w:rsid w:val="00295748"/>
    <w:rsid w:val="00297664"/>
    <w:rsid w:val="002A151E"/>
    <w:rsid w:val="002A3897"/>
    <w:rsid w:val="002A3E1E"/>
    <w:rsid w:val="002A4AE9"/>
    <w:rsid w:val="002A7DA9"/>
    <w:rsid w:val="002B0C14"/>
    <w:rsid w:val="002B1D88"/>
    <w:rsid w:val="002B55FB"/>
    <w:rsid w:val="002B7007"/>
    <w:rsid w:val="002C42FF"/>
    <w:rsid w:val="002C59EB"/>
    <w:rsid w:val="002C66CD"/>
    <w:rsid w:val="002D1C2E"/>
    <w:rsid w:val="002D21C0"/>
    <w:rsid w:val="002D22F6"/>
    <w:rsid w:val="002D26A8"/>
    <w:rsid w:val="002D285A"/>
    <w:rsid w:val="002D4AA9"/>
    <w:rsid w:val="002D5003"/>
    <w:rsid w:val="002D6240"/>
    <w:rsid w:val="002E0CC9"/>
    <w:rsid w:val="002E26DC"/>
    <w:rsid w:val="002E2AD5"/>
    <w:rsid w:val="002E312B"/>
    <w:rsid w:val="002E4229"/>
    <w:rsid w:val="002E4747"/>
    <w:rsid w:val="002E5175"/>
    <w:rsid w:val="002E6797"/>
    <w:rsid w:val="002F022D"/>
    <w:rsid w:val="002F3E0A"/>
    <w:rsid w:val="00301192"/>
    <w:rsid w:val="00301434"/>
    <w:rsid w:val="00302683"/>
    <w:rsid w:val="003041BA"/>
    <w:rsid w:val="003048D0"/>
    <w:rsid w:val="00307CBF"/>
    <w:rsid w:val="00307CD0"/>
    <w:rsid w:val="00313B27"/>
    <w:rsid w:val="00313DC0"/>
    <w:rsid w:val="00313DFE"/>
    <w:rsid w:val="0032753F"/>
    <w:rsid w:val="003275ED"/>
    <w:rsid w:val="00332E2D"/>
    <w:rsid w:val="0033312D"/>
    <w:rsid w:val="00333BB1"/>
    <w:rsid w:val="00335AD2"/>
    <w:rsid w:val="003371AD"/>
    <w:rsid w:val="00337831"/>
    <w:rsid w:val="00340103"/>
    <w:rsid w:val="00340C23"/>
    <w:rsid w:val="00340CD9"/>
    <w:rsid w:val="00343DD1"/>
    <w:rsid w:val="00343EB4"/>
    <w:rsid w:val="00343FE0"/>
    <w:rsid w:val="00344444"/>
    <w:rsid w:val="003479EF"/>
    <w:rsid w:val="003502F1"/>
    <w:rsid w:val="003524A9"/>
    <w:rsid w:val="00352CF2"/>
    <w:rsid w:val="003574B6"/>
    <w:rsid w:val="00360726"/>
    <w:rsid w:val="003618FF"/>
    <w:rsid w:val="00362083"/>
    <w:rsid w:val="00363742"/>
    <w:rsid w:val="00372255"/>
    <w:rsid w:val="00372A74"/>
    <w:rsid w:val="00372B47"/>
    <w:rsid w:val="00373312"/>
    <w:rsid w:val="0037456B"/>
    <w:rsid w:val="00374DED"/>
    <w:rsid w:val="003816DA"/>
    <w:rsid w:val="0038357B"/>
    <w:rsid w:val="00386077"/>
    <w:rsid w:val="00390DBF"/>
    <w:rsid w:val="00392647"/>
    <w:rsid w:val="0039448E"/>
    <w:rsid w:val="003A7BA0"/>
    <w:rsid w:val="003B05C5"/>
    <w:rsid w:val="003B0CC8"/>
    <w:rsid w:val="003B2AEA"/>
    <w:rsid w:val="003B59CF"/>
    <w:rsid w:val="003B6D10"/>
    <w:rsid w:val="003C4EAE"/>
    <w:rsid w:val="003C6352"/>
    <w:rsid w:val="003C66D8"/>
    <w:rsid w:val="003D262C"/>
    <w:rsid w:val="003D4310"/>
    <w:rsid w:val="003D794C"/>
    <w:rsid w:val="003E1505"/>
    <w:rsid w:val="003F04EC"/>
    <w:rsid w:val="003F76C2"/>
    <w:rsid w:val="003F7730"/>
    <w:rsid w:val="004005F2"/>
    <w:rsid w:val="00400C9D"/>
    <w:rsid w:val="00402133"/>
    <w:rsid w:val="00405510"/>
    <w:rsid w:val="00405734"/>
    <w:rsid w:val="00405754"/>
    <w:rsid w:val="004107A0"/>
    <w:rsid w:val="0041132C"/>
    <w:rsid w:val="00412A97"/>
    <w:rsid w:val="00413134"/>
    <w:rsid w:val="00415418"/>
    <w:rsid w:val="00415768"/>
    <w:rsid w:val="0041753D"/>
    <w:rsid w:val="00417963"/>
    <w:rsid w:val="004201BF"/>
    <w:rsid w:val="0042034F"/>
    <w:rsid w:val="00421D28"/>
    <w:rsid w:val="004226D2"/>
    <w:rsid w:val="004233E2"/>
    <w:rsid w:val="00423B15"/>
    <w:rsid w:val="00424566"/>
    <w:rsid w:val="00424C81"/>
    <w:rsid w:val="00430ED7"/>
    <w:rsid w:val="00431A7D"/>
    <w:rsid w:val="004338CA"/>
    <w:rsid w:val="0043495B"/>
    <w:rsid w:val="004419A5"/>
    <w:rsid w:val="00441D35"/>
    <w:rsid w:val="0044205B"/>
    <w:rsid w:val="00442F86"/>
    <w:rsid w:val="0044497C"/>
    <w:rsid w:val="00444C5A"/>
    <w:rsid w:val="00450D5D"/>
    <w:rsid w:val="00451D6F"/>
    <w:rsid w:val="00453272"/>
    <w:rsid w:val="00453DF8"/>
    <w:rsid w:val="0045625C"/>
    <w:rsid w:val="00460D34"/>
    <w:rsid w:val="00461007"/>
    <w:rsid w:val="004635A7"/>
    <w:rsid w:val="00466DF7"/>
    <w:rsid w:val="00466E1F"/>
    <w:rsid w:val="00470538"/>
    <w:rsid w:val="00471280"/>
    <w:rsid w:val="004719C7"/>
    <w:rsid w:val="0047296E"/>
    <w:rsid w:val="0047442D"/>
    <w:rsid w:val="00476566"/>
    <w:rsid w:val="00477EC5"/>
    <w:rsid w:val="0048046D"/>
    <w:rsid w:val="004827FE"/>
    <w:rsid w:val="00483C28"/>
    <w:rsid w:val="0048404B"/>
    <w:rsid w:val="004906A6"/>
    <w:rsid w:val="00492439"/>
    <w:rsid w:val="00492EB9"/>
    <w:rsid w:val="0049359C"/>
    <w:rsid w:val="00493BBB"/>
    <w:rsid w:val="00493CC7"/>
    <w:rsid w:val="004960E0"/>
    <w:rsid w:val="00496F37"/>
    <w:rsid w:val="00497B34"/>
    <w:rsid w:val="004A1A49"/>
    <w:rsid w:val="004A1CDB"/>
    <w:rsid w:val="004A2159"/>
    <w:rsid w:val="004A2ABE"/>
    <w:rsid w:val="004A5075"/>
    <w:rsid w:val="004A6061"/>
    <w:rsid w:val="004B200D"/>
    <w:rsid w:val="004B362D"/>
    <w:rsid w:val="004B37FA"/>
    <w:rsid w:val="004B3ED6"/>
    <w:rsid w:val="004B6A88"/>
    <w:rsid w:val="004C2F81"/>
    <w:rsid w:val="004C506D"/>
    <w:rsid w:val="004C72AE"/>
    <w:rsid w:val="004D3FCF"/>
    <w:rsid w:val="004D40F2"/>
    <w:rsid w:val="004E08EB"/>
    <w:rsid w:val="004E0FC2"/>
    <w:rsid w:val="004E4463"/>
    <w:rsid w:val="004E4DB9"/>
    <w:rsid w:val="004E53D0"/>
    <w:rsid w:val="004E6335"/>
    <w:rsid w:val="004F2809"/>
    <w:rsid w:val="004F382E"/>
    <w:rsid w:val="004F503F"/>
    <w:rsid w:val="005000D7"/>
    <w:rsid w:val="00500320"/>
    <w:rsid w:val="00500A7F"/>
    <w:rsid w:val="0050157B"/>
    <w:rsid w:val="00501D44"/>
    <w:rsid w:val="00502354"/>
    <w:rsid w:val="00502D7F"/>
    <w:rsid w:val="00503F0C"/>
    <w:rsid w:val="00504E34"/>
    <w:rsid w:val="00506500"/>
    <w:rsid w:val="00507707"/>
    <w:rsid w:val="005077B0"/>
    <w:rsid w:val="00507EF4"/>
    <w:rsid w:val="005112BB"/>
    <w:rsid w:val="0051434C"/>
    <w:rsid w:val="00514B47"/>
    <w:rsid w:val="00522037"/>
    <w:rsid w:val="005220D0"/>
    <w:rsid w:val="005304CF"/>
    <w:rsid w:val="0053433E"/>
    <w:rsid w:val="00535C0B"/>
    <w:rsid w:val="00535D4F"/>
    <w:rsid w:val="00535DDD"/>
    <w:rsid w:val="00540B63"/>
    <w:rsid w:val="005410A3"/>
    <w:rsid w:val="0054157E"/>
    <w:rsid w:val="00541AA0"/>
    <w:rsid w:val="00544CAF"/>
    <w:rsid w:val="005479FA"/>
    <w:rsid w:val="0055066E"/>
    <w:rsid w:val="00551B10"/>
    <w:rsid w:val="00551B4E"/>
    <w:rsid w:val="00551CB1"/>
    <w:rsid w:val="00551D7B"/>
    <w:rsid w:val="00553649"/>
    <w:rsid w:val="00556250"/>
    <w:rsid w:val="00556999"/>
    <w:rsid w:val="005621E2"/>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8502A"/>
    <w:rsid w:val="005868F1"/>
    <w:rsid w:val="00594B99"/>
    <w:rsid w:val="00595822"/>
    <w:rsid w:val="0059639D"/>
    <w:rsid w:val="00596F0F"/>
    <w:rsid w:val="00597405"/>
    <w:rsid w:val="005974E1"/>
    <w:rsid w:val="005A060E"/>
    <w:rsid w:val="005A2738"/>
    <w:rsid w:val="005A27CB"/>
    <w:rsid w:val="005A2BB7"/>
    <w:rsid w:val="005A4E70"/>
    <w:rsid w:val="005A5D76"/>
    <w:rsid w:val="005B14C8"/>
    <w:rsid w:val="005B2A2A"/>
    <w:rsid w:val="005B312D"/>
    <w:rsid w:val="005B5A58"/>
    <w:rsid w:val="005B74B8"/>
    <w:rsid w:val="005C0098"/>
    <w:rsid w:val="005C3B85"/>
    <w:rsid w:val="005C40A7"/>
    <w:rsid w:val="005C6E9F"/>
    <w:rsid w:val="005D1D97"/>
    <w:rsid w:val="005D3650"/>
    <w:rsid w:val="005D3CC6"/>
    <w:rsid w:val="005D4398"/>
    <w:rsid w:val="005D4CFA"/>
    <w:rsid w:val="005E138A"/>
    <w:rsid w:val="005E4AA7"/>
    <w:rsid w:val="005E4C20"/>
    <w:rsid w:val="005E7417"/>
    <w:rsid w:val="005E785E"/>
    <w:rsid w:val="005E7C80"/>
    <w:rsid w:val="005F139E"/>
    <w:rsid w:val="005F41FC"/>
    <w:rsid w:val="005F4FDB"/>
    <w:rsid w:val="005F7460"/>
    <w:rsid w:val="005F7EBF"/>
    <w:rsid w:val="00600F07"/>
    <w:rsid w:val="00601D63"/>
    <w:rsid w:val="0060449C"/>
    <w:rsid w:val="006049C0"/>
    <w:rsid w:val="00604DBC"/>
    <w:rsid w:val="00606B3B"/>
    <w:rsid w:val="0061198C"/>
    <w:rsid w:val="00612042"/>
    <w:rsid w:val="00612472"/>
    <w:rsid w:val="006129AA"/>
    <w:rsid w:val="00614178"/>
    <w:rsid w:val="00614F05"/>
    <w:rsid w:val="00622A31"/>
    <w:rsid w:val="00624F00"/>
    <w:rsid w:val="0062564C"/>
    <w:rsid w:val="006257C8"/>
    <w:rsid w:val="006257FF"/>
    <w:rsid w:val="006268C3"/>
    <w:rsid w:val="00627320"/>
    <w:rsid w:val="0063186F"/>
    <w:rsid w:val="00632868"/>
    <w:rsid w:val="00635ACE"/>
    <w:rsid w:val="00636EFD"/>
    <w:rsid w:val="00641D69"/>
    <w:rsid w:val="00642EA8"/>
    <w:rsid w:val="00642F1F"/>
    <w:rsid w:val="00645410"/>
    <w:rsid w:val="00653602"/>
    <w:rsid w:val="00654487"/>
    <w:rsid w:val="0066029E"/>
    <w:rsid w:val="00660478"/>
    <w:rsid w:val="0066096F"/>
    <w:rsid w:val="00660D5A"/>
    <w:rsid w:val="0067013C"/>
    <w:rsid w:val="00671796"/>
    <w:rsid w:val="00672AB3"/>
    <w:rsid w:val="0067499B"/>
    <w:rsid w:val="00674D6F"/>
    <w:rsid w:val="006752FF"/>
    <w:rsid w:val="006753BB"/>
    <w:rsid w:val="006814B1"/>
    <w:rsid w:val="00681B19"/>
    <w:rsid w:val="00683384"/>
    <w:rsid w:val="00684A20"/>
    <w:rsid w:val="00685D6C"/>
    <w:rsid w:val="00693662"/>
    <w:rsid w:val="00694141"/>
    <w:rsid w:val="00694C2F"/>
    <w:rsid w:val="006962C3"/>
    <w:rsid w:val="006A1463"/>
    <w:rsid w:val="006A3348"/>
    <w:rsid w:val="006A3BC4"/>
    <w:rsid w:val="006A42A8"/>
    <w:rsid w:val="006B0039"/>
    <w:rsid w:val="006B00A7"/>
    <w:rsid w:val="006B15EA"/>
    <w:rsid w:val="006B22CB"/>
    <w:rsid w:val="006B41CF"/>
    <w:rsid w:val="006B4362"/>
    <w:rsid w:val="006B674E"/>
    <w:rsid w:val="006C4189"/>
    <w:rsid w:val="006C63AA"/>
    <w:rsid w:val="006C6A78"/>
    <w:rsid w:val="006C73F3"/>
    <w:rsid w:val="006D025D"/>
    <w:rsid w:val="006D18F8"/>
    <w:rsid w:val="006D7785"/>
    <w:rsid w:val="006E36FB"/>
    <w:rsid w:val="006E3F0E"/>
    <w:rsid w:val="006E5611"/>
    <w:rsid w:val="006E678F"/>
    <w:rsid w:val="006F1494"/>
    <w:rsid w:val="006F17BF"/>
    <w:rsid w:val="006F23CA"/>
    <w:rsid w:val="006F3521"/>
    <w:rsid w:val="006F4E0A"/>
    <w:rsid w:val="006F541A"/>
    <w:rsid w:val="006F64B1"/>
    <w:rsid w:val="006F66FF"/>
    <w:rsid w:val="006F6C3D"/>
    <w:rsid w:val="006F7D8C"/>
    <w:rsid w:val="007017A3"/>
    <w:rsid w:val="0070187C"/>
    <w:rsid w:val="0070222A"/>
    <w:rsid w:val="00704E5F"/>
    <w:rsid w:val="00705358"/>
    <w:rsid w:val="00706100"/>
    <w:rsid w:val="00707209"/>
    <w:rsid w:val="00715A63"/>
    <w:rsid w:val="00715BDC"/>
    <w:rsid w:val="00715FC2"/>
    <w:rsid w:val="00721459"/>
    <w:rsid w:val="00722023"/>
    <w:rsid w:val="00724C57"/>
    <w:rsid w:val="00726AEB"/>
    <w:rsid w:val="0072782D"/>
    <w:rsid w:val="00727F8B"/>
    <w:rsid w:val="00730187"/>
    <w:rsid w:val="0073047B"/>
    <w:rsid w:val="0073191C"/>
    <w:rsid w:val="00732B07"/>
    <w:rsid w:val="00735481"/>
    <w:rsid w:val="00736C9F"/>
    <w:rsid w:val="00736D17"/>
    <w:rsid w:val="0073730B"/>
    <w:rsid w:val="0074019A"/>
    <w:rsid w:val="0074089D"/>
    <w:rsid w:val="007449EC"/>
    <w:rsid w:val="0075272F"/>
    <w:rsid w:val="00752DC2"/>
    <w:rsid w:val="007533BC"/>
    <w:rsid w:val="00753437"/>
    <w:rsid w:val="00753E19"/>
    <w:rsid w:val="007568D9"/>
    <w:rsid w:val="007632BD"/>
    <w:rsid w:val="007639CF"/>
    <w:rsid w:val="00767556"/>
    <w:rsid w:val="00772F69"/>
    <w:rsid w:val="0077632B"/>
    <w:rsid w:val="007769DF"/>
    <w:rsid w:val="0077794A"/>
    <w:rsid w:val="00777B83"/>
    <w:rsid w:val="007807E0"/>
    <w:rsid w:val="0078090D"/>
    <w:rsid w:val="007850C5"/>
    <w:rsid w:val="00785787"/>
    <w:rsid w:val="0078609C"/>
    <w:rsid w:val="007957CE"/>
    <w:rsid w:val="007A044E"/>
    <w:rsid w:val="007A1F5A"/>
    <w:rsid w:val="007A27A3"/>
    <w:rsid w:val="007A4851"/>
    <w:rsid w:val="007B0063"/>
    <w:rsid w:val="007B29E9"/>
    <w:rsid w:val="007B4D76"/>
    <w:rsid w:val="007C0132"/>
    <w:rsid w:val="007C2C74"/>
    <w:rsid w:val="007C2EED"/>
    <w:rsid w:val="007C43FD"/>
    <w:rsid w:val="007C7674"/>
    <w:rsid w:val="007D0F4E"/>
    <w:rsid w:val="007D13CE"/>
    <w:rsid w:val="007D1566"/>
    <w:rsid w:val="007D348D"/>
    <w:rsid w:val="007D609D"/>
    <w:rsid w:val="007E54D8"/>
    <w:rsid w:val="007E6FAA"/>
    <w:rsid w:val="007E7C30"/>
    <w:rsid w:val="007E7DF4"/>
    <w:rsid w:val="007F034F"/>
    <w:rsid w:val="007F49F3"/>
    <w:rsid w:val="007F6731"/>
    <w:rsid w:val="00803476"/>
    <w:rsid w:val="00805242"/>
    <w:rsid w:val="008069D4"/>
    <w:rsid w:val="008078DD"/>
    <w:rsid w:val="00807F49"/>
    <w:rsid w:val="00810B5E"/>
    <w:rsid w:val="00810BBC"/>
    <w:rsid w:val="0081422C"/>
    <w:rsid w:val="00816D97"/>
    <w:rsid w:val="008203FB"/>
    <w:rsid w:val="0082095F"/>
    <w:rsid w:val="0082197D"/>
    <w:rsid w:val="00822520"/>
    <w:rsid w:val="00826432"/>
    <w:rsid w:val="0082798C"/>
    <w:rsid w:val="00830194"/>
    <w:rsid w:val="00831C9B"/>
    <w:rsid w:val="00831D4B"/>
    <w:rsid w:val="00832A69"/>
    <w:rsid w:val="00835F5E"/>
    <w:rsid w:val="00844872"/>
    <w:rsid w:val="008458DF"/>
    <w:rsid w:val="00846D2D"/>
    <w:rsid w:val="008509EF"/>
    <w:rsid w:val="00851359"/>
    <w:rsid w:val="008530C0"/>
    <w:rsid w:val="00854A39"/>
    <w:rsid w:val="00854A78"/>
    <w:rsid w:val="00855E88"/>
    <w:rsid w:val="00856066"/>
    <w:rsid w:val="0085660D"/>
    <w:rsid w:val="00856849"/>
    <w:rsid w:val="00857793"/>
    <w:rsid w:val="00860D88"/>
    <w:rsid w:val="00860E97"/>
    <w:rsid w:val="00863AE8"/>
    <w:rsid w:val="00865E00"/>
    <w:rsid w:val="00866CE0"/>
    <w:rsid w:val="00866E87"/>
    <w:rsid w:val="00871CE5"/>
    <w:rsid w:val="00872E9A"/>
    <w:rsid w:val="00873B35"/>
    <w:rsid w:val="00874A1A"/>
    <w:rsid w:val="00875726"/>
    <w:rsid w:val="00876484"/>
    <w:rsid w:val="00877AAF"/>
    <w:rsid w:val="0088039F"/>
    <w:rsid w:val="00882355"/>
    <w:rsid w:val="008846B9"/>
    <w:rsid w:val="00884908"/>
    <w:rsid w:val="00887A8D"/>
    <w:rsid w:val="00894FF0"/>
    <w:rsid w:val="008A0AF2"/>
    <w:rsid w:val="008A20D1"/>
    <w:rsid w:val="008A671D"/>
    <w:rsid w:val="008B0F81"/>
    <w:rsid w:val="008B1921"/>
    <w:rsid w:val="008B4270"/>
    <w:rsid w:val="008B6A69"/>
    <w:rsid w:val="008B6E36"/>
    <w:rsid w:val="008C331A"/>
    <w:rsid w:val="008C6FE2"/>
    <w:rsid w:val="008D444A"/>
    <w:rsid w:val="008D4EB8"/>
    <w:rsid w:val="008D67B2"/>
    <w:rsid w:val="008D7DC1"/>
    <w:rsid w:val="008E2F89"/>
    <w:rsid w:val="008E3941"/>
    <w:rsid w:val="008E4ECE"/>
    <w:rsid w:val="008E5619"/>
    <w:rsid w:val="008E758D"/>
    <w:rsid w:val="008F0B83"/>
    <w:rsid w:val="008F0BF4"/>
    <w:rsid w:val="008F294C"/>
    <w:rsid w:val="008F5001"/>
    <w:rsid w:val="00900869"/>
    <w:rsid w:val="009011BD"/>
    <w:rsid w:val="0090132B"/>
    <w:rsid w:val="009062B1"/>
    <w:rsid w:val="00914566"/>
    <w:rsid w:val="00916B1F"/>
    <w:rsid w:val="00925428"/>
    <w:rsid w:val="00930789"/>
    <w:rsid w:val="00931E98"/>
    <w:rsid w:val="009323F7"/>
    <w:rsid w:val="00932E0F"/>
    <w:rsid w:val="00933833"/>
    <w:rsid w:val="009366CF"/>
    <w:rsid w:val="00941111"/>
    <w:rsid w:val="0094584C"/>
    <w:rsid w:val="00946B57"/>
    <w:rsid w:val="009473CE"/>
    <w:rsid w:val="00947CC4"/>
    <w:rsid w:val="009502E7"/>
    <w:rsid w:val="00950F43"/>
    <w:rsid w:val="009517D7"/>
    <w:rsid w:val="00952493"/>
    <w:rsid w:val="00952A84"/>
    <w:rsid w:val="0095752E"/>
    <w:rsid w:val="00960F94"/>
    <w:rsid w:val="00961A01"/>
    <w:rsid w:val="00961D05"/>
    <w:rsid w:val="00962993"/>
    <w:rsid w:val="00963B0E"/>
    <w:rsid w:val="00963B7F"/>
    <w:rsid w:val="0096458A"/>
    <w:rsid w:val="00965E4C"/>
    <w:rsid w:val="00966505"/>
    <w:rsid w:val="00967F35"/>
    <w:rsid w:val="00971552"/>
    <w:rsid w:val="00977C30"/>
    <w:rsid w:val="009820B4"/>
    <w:rsid w:val="00982839"/>
    <w:rsid w:val="00982D3A"/>
    <w:rsid w:val="00992AA4"/>
    <w:rsid w:val="00997443"/>
    <w:rsid w:val="009A12E7"/>
    <w:rsid w:val="009A187F"/>
    <w:rsid w:val="009A2A01"/>
    <w:rsid w:val="009A3F20"/>
    <w:rsid w:val="009A4C4A"/>
    <w:rsid w:val="009A63A6"/>
    <w:rsid w:val="009A681C"/>
    <w:rsid w:val="009A6901"/>
    <w:rsid w:val="009A6D5F"/>
    <w:rsid w:val="009B0B8E"/>
    <w:rsid w:val="009B1A51"/>
    <w:rsid w:val="009B1A88"/>
    <w:rsid w:val="009B2F67"/>
    <w:rsid w:val="009B4779"/>
    <w:rsid w:val="009B4993"/>
    <w:rsid w:val="009B7B18"/>
    <w:rsid w:val="009C0119"/>
    <w:rsid w:val="009C0A43"/>
    <w:rsid w:val="009C0B67"/>
    <w:rsid w:val="009C0E54"/>
    <w:rsid w:val="009C3465"/>
    <w:rsid w:val="009C6AB4"/>
    <w:rsid w:val="009C7338"/>
    <w:rsid w:val="009D2482"/>
    <w:rsid w:val="009D3BAF"/>
    <w:rsid w:val="009D6104"/>
    <w:rsid w:val="009E1605"/>
    <w:rsid w:val="009E3204"/>
    <w:rsid w:val="009E697E"/>
    <w:rsid w:val="009F2579"/>
    <w:rsid w:val="009F3A2E"/>
    <w:rsid w:val="009F3FA4"/>
    <w:rsid w:val="00A014AE"/>
    <w:rsid w:val="00A01E3F"/>
    <w:rsid w:val="00A02E6F"/>
    <w:rsid w:val="00A03C78"/>
    <w:rsid w:val="00A04514"/>
    <w:rsid w:val="00A04561"/>
    <w:rsid w:val="00A05A94"/>
    <w:rsid w:val="00A06373"/>
    <w:rsid w:val="00A06393"/>
    <w:rsid w:val="00A066BD"/>
    <w:rsid w:val="00A06916"/>
    <w:rsid w:val="00A0708F"/>
    <w:rsid w:val="00A11142"/>
    <w:rsid w:val="00A13A94"/>
    <w:rsid w:val="00A14CAE"/>
    <w:rsid w:val="00A15C42"/>
    <w:rsid w:val="00A15CC2"/>
    <w:rsid w:val="00A163AB"/>
    <w:rsid w:val="00A16E24"/>
    <w:rsid w:val="00A237E5"/>
    <w:rsid w:val="00A337BE"/>
    <w:rsid w:val="00A340FC"/>
    <w:rsid w:val="00A348C9"/>
    <w:rsid w:val="00A44186"/>
    <w:rsid w:val="00A4615C"/>
    <w:rsid w:val="00A507C9"/>
    <w:rsid w:val="00A5210E"/>
    <w:rsid w:val="00A534BF"/>
    <w:rsid w:val="00A56282"/>
    <w:rsid w:val="00A60700"/>
    <w:rsid w:val="00A62F5E"/>
    <w:rsid w:val="00A675E1"/>
    <w:rsid w:val="00A7170E"/>
    <w:rsid w:val="00A735D1"/>
    <w:rsid w:val="00A73BA1"/>
    <w:rsid w:val="00A75629"/>
    <w:rsid w:val="00A76D00"/>
    <w:rsid w:val="00A77BB6"/>
    <w:rsid w:val="00A83858"/>
    <w:rsid w:val="00A8568D"/>
    <w:rsid w:val="00A9107A"/>
    <w:rsid w:val="00A92D22"/>
    <w:rsid w:val="00A93561"/>
    <w:rsid w:val="00A95365"/>
    <w:rsid w:val="00A9581C"/>
    <w:rsid w:val="00AA2E7E"/>
    <w:rsid w:val="00AA3F90"/>
    <w:rsid w:val="00AB1BB7"/>
    <w:rsid w:val="00AB6954"/>
    <w:rsid w:val="00AC391B"/>
    <w:rsid w:val="00AC7643"/>
    <w:rsid w:val="00AD1E79"/>
    <w:rsid w:val="00AD7C2D"/>
    <w:rsid w:val="00AE15B6"/>
    <w:rsid w:val="00AE3829"/>
    <w:rsid w:val="00AF0324"/>
    <w:rsid w:val="00AF3FE6"/>
    <w:rsid w:val="00AF4616"/>
    <w:rsid w:val="00AF4F3F"/>
    <w:rsid w:val="00AF5898"/>
    <w:rsid w:val="00AF5C18"/>
    <w:rsid w:val="00B003EF"/>
    <w:rsid w:val="00B00E57"/>
    <w:rsid w:val="00B00E70"/>
    <w:rsid w:val="00B00FE6"/>
    <w:rsid w:val="00B0175B"/>
    <w:rsid w:val="00B0355C"/>
    <w:rsid w:val="00B04FA2"/>
    <w:rsid w:val="00B056D2"/>
    <w:rsid w:val="00B10314"/>
    <w:rsid w:val="00B1069A"/>
    <w:rsid w:val="00B113F3"/>
    <w:rsid w:val="00B11766"/>
    <w:rsid w:val="00B1254B"/>
    <w:rsid w:val="00B136CA"/>
    <w:rsid w:val="00B15330"/>
    <w:rsid w:val="00B1632B"/>
    <w:rsid w:val="00B16E19"/>
    <w:rsid w:val="00B17D7A"/>
    <w:rsid w:val="00B17DFC"/>
    <w:rsid w:val="00B20607"/>
    <w:rsid w:val="00B25FCF"/>
    <w:rsid w:val="00B31422"/>
    <w:rsid w:val="00B31B73"/>
    <w:rsid w:val="00B31FDC"/>
    <w:rsid w:val="00B35C69"/>
    <w:rsid w:val="00B4593D"/>
    <w:rsid w:val="00B47715"/>
    <w:rsid w:val="00B52FB2"/>
    <w:rsid w:val="00B53E75"/>
    <w:rsid w:val="00B54E13"/>
    <w:rsid w:val="00B550BF"/>
    <w:rsid w:val="00B63518"/>
    <w:rsid w:val="00B63D3B"/>
    <w:rsid w:val="00B656AB"/>
    <w:rsid w:val="00B65B3F"/>
    <w:rsid w:val="00B6637C"/>
    <w:rsid w:val="00B676E9"/>
    <w:rsid w:val="00B749E4"/>
    <w:rsid w:val="00B74A17"/>
    <w:rsid w:val="00B753E9"/>
    <w:rsid w:val="00B77699"/>
    <w:rsid w:val="00B812AE"/>
    <w:rsid w:val="00B83D09"/>
    <w:rsid w:val="00B85459"/>
    <w:rsid w:val="00B858DB"/>
    <w:rsid w:val="00B86DB8"/>
    <w:rsid w:val="00B907FB"/>
    <w:rsid w:val="00B919AB"/>
    <w:rsid w:val="00B96A13"/>
    <w:rsid w:val="00BA2ADF"/>
    <w:rsid w:val="00BA3187"/>
    <w:rsid w:val="00BA4C0D"/>
    <w:rsid w:val="00BA5541"/>
    <w:rsid w:val="00BA79AC"/>
    <w:rsid w:val="00BB2488"/>
    <w:rsid w:val="00BB2490"/>
    <w:rsid w:val="00BB40F3"/>
    <w:rsid w:val="00BB475C"/>
    <w:rsid w:val="00BB7AB5"/>
    <w:rsid w:val="00BC1E36"/>
    <w:rsid w:val="00BC20B7"/>
    <w:rsid w:val="00BC5003"/>
    <w:rsid w:val="00BC79F6"/>
    <w:rsid w:val="00BC7CC7"/>
    <w:rsid w:val="00BD0806"/>
    <w:rsid w:val="00BD149F"/>
    <w:rsid w:val="00BD2067"/>
    <w:rsid w:val="00BD39AF"/>
    <w:rsid w:val="00BD3E4D"/>
    <w:rsid w:val="00BD72D8"/>
    <w:rsid w:val="00BE02C4"/>
    <w:rsid w:val="00BE04BF"/>
    <w:rsid w:val="00BE13DE"/>
    <w:rsid w:val="00BE18C8"/>
    <w:rsid w:val="00BE1C03"/>
    <w:rsid w:val="00BE359F"/>
    <w:rsid w:val="00BE419C"/>
    <w:rsid w:val="00BE5C37"/>
    <w:rsid w:val="00BE6381"/>
    <w:rsid w:val="00BE65F7"/>
    <w:rsid w:val="00BE6EEC"/>
    <w:rsid w:val="00BE79E3"/>
    <w:rsid w:val="00BF1575"/>
    <w:rsid w:val="00BF3CB7"/>
    <w:rsid w:val="00BF53E0"/>
    <w:rsid w:val="00BF5B80"/>
    <w:rsid w:val="00C02ED6"/>
    <w:rsid w:val="00C051F7"/>
    <w:rsid w:val="00C06278"/>
    <w:rsid w:val="00C067A6"/>
    <w:rsid w:val="00C10356"/>
    <w:rsid w:val="00C115CC"/>
    <w:rsid w:val="00C120E0"/>
    <w:rsid w:val="00C120F3"/>
    <w:rsid w:val="00C1315A"/>
    <w:rsid w:val="00C15A22"/>
    <w:rsid w:val="00C1741B"/>
    <w:rsid w:val="00C2235C"/>
    <w:rsid w:val="00C23F8F"/>
    <w:rsid w:val="00C24EB7"/>
    <w:rsid w:val="00C25485"/>
    <w:rsid w:val="00C25981"/>
    <w:rsid w:val="00C32D11"/>
    <w:rsid w:val="00C33744"/>
    <w:rsid w:val="00C34E75"/>
    <w:rsid w:val="00C425C6"/>
    <w:rsid w:val="00C42B4F"/>
    <w:rsid w:val="00C42D8A"/>
    <w:rsid w:val="00C4345E"/>
    <w:rsid w:val="00C43D88"/>
    <w:rsid w:val="00C44FE3"/>
    <w:rsid w:val="00C458E1"/>
    <w:rsid w:val="00C45946"/>
    <w:rsid w:val="00C45ED5"/>
    <w:rsid w:val="00C46077"/>
    <w:rsid w:val="00C55331"/>
    <w:rsid w:val="00C60C93"/>
    <w:rsid w:val="00C61FF5"/>
    <w:rsid w:val="00C62DEA"/>
    <w:rsid w:val="00C638D2"/>
    <w:rsid w:val="00C66252"/>
    <w:rsid w:val="00C71145"/>
    <w:rsid w:val="00C71A93"/>
    <w:rsid w:val="00C72EF2"/>
    <w:rsid w:val="00C73FF0"/>
    <w:rsid w:val="00C744F3"/>
    <w:rsid w:val="00C747F8"/>
    <w:rsid w:val="00C762D8"/>
    <w:rsid w:val="00C77C34"/>
    <w:rsid w:val="00C809E9"/>
    <w:rsid w:val="00C81DC7"/>
    <w:rsid w:val="00C86B55"/>
    <w:rsid w:val="00C86E3C"/>
    <w:rsid w:val="00C90EE3"/>
    <w:rsid w:val="00C924D4"/>
    <w:rsid w:val="00C935F0"/>
    <w:rsid w:val="00C96692"/>
    <w:rsid w:val="00CA10BE"/>
    <w:rsid w:val="00CA16F1"/>
    <w:rsid w:val="00CA2EFA"/>
    <w:rsid w:val="00CA376C"/>
    <w:rsid w:val="00CA3EA7"/>
    <w:rsid w:val="00CA551A"/>
    <w:rsid w:val="00CA6B41"/>
    <w:rsid w:val="00CB0C2A"/>
    <w:rsid w:val="00CB58E5"/>
    <w:rsid w:val="00CB6009"/>
    <w:rsid w:val="00CC1763"/>
    <w:rsid w:val="00CC2074"/>
    <w:rsid w:val="00CC284F"/>
    <w:rsid w:val="00CC3613"/>
    <w:rsid w:val="00CC615C"/>
    <w:rsid w:val="00CC720E"/>
    <w:rsid w:val="00CC7EC7"/>
    <w:rsid w:val="00CD2CA4"/>
    <w:rsid w:val="00CD2EB3"/>
    <w:rsid w:val="00CD2FB2"/>
    <w:rsid w:val="00CD3DFB"/>
    <w:rsid w:val="00CD4F42"/>
    <w:rsid w:val="00CD5972"/>
    <w:rsid w:val="00CE3744"/>
    <w:rsid w:val="00CE49DD"/>
    <w:rsid w:val="00CE4D14"/>
    <w:rsid w:val="00CE6CD8"/>
    <w:rsid w:val="00CF32EA"/>
    <w:rsid w:val="00CF3C83"/>
    <w:rsid w:val="00CF4DD2"/>
    <w:rsid w:val="00CF4EB8"/>
    <w:rsid w:val="00CF7422"/>
    <w:rsid w:val="00D0204C"/>
    <w:rsid w:val="00D025EF"/>
    <w:rsid w:val="00D026BC"/>
    <w:rsid w:val="00D02CEB"/>
    <w:rsid w:val="00D03F48"/>
    <w:rsid w:val="00D05473"/>
    <w:rsid w:val="00D075B2"/>
    <w:rsid w:val="00D10D24"/>
    <w:rsid w:val="00D11A07"/>
    <w:rsid w:val="00D1385A"/>
    <w:rsid w:val="00D14158"/>
    <w:rsid w:val="00D16273"/>
    <w:rsid w:val="00D1656A"/>
    <w:rsid w:val="00D17F67"/>
    <w:rsid w:val="00D20F76"/>
    <w:rsid w:val="00D21AD6"/>
    <w:rsid w:val="00D2207E"/>
    <w:rsid w:val="00D24F39"/>
    <w:rsid w:val="00D25F22"/>
    <w:rsid w:val="00D27240"/>
    <w:rsid w:val="00D27523"/>
    <w:rsid w:val="00D277FF"/>
    <w:rsid w:val="00D306FB"/>
    <w:rsid w:val="00D30A9D"/>
    <w:rsid w:val="00D3457F"/>
    <w:rsid w:val="00D36193"/>
    <w:rsid w:val="00D40232"/>
    <w:rsid w:val="00D4042A"/>
    <w:rsid w:val="00D4099C"/>
    <w:rsid w:val="00D4184F"/>
    <w:rsid w:val="00D4582F"/>
    <w:rsid w:val="00D51C2D"/>
    <w:rsid w:val="00D51E8E"/>
    <w:rsid w:val="00D528DB"/>
    <w:rsid w:val="00D537A9"/>
    <w:rsid w:val="00D545E4"/>
    <w:rsid w:val="00D558A3"/>
    <w:rsid w:val="00D5660C"/>
    <w:rsid w:val="00D56A70"/>
    <w:rsid w:val="00D572E7"/>
    <w:rsid w:val="00D62921"/>
    <w:rsid w:val="00D62C74"/>
    <w:rsid w:val="00D6300F"/>
    <w:rsid w:val="00D632E6"/>
    <w:rsid w:val="00D647FD"/>
    <w:rsid w:val="00D648DC"/>
    <w:rsid w:val="00D6503C"/>
    <w:rsid w:val="00D67688"/>
    <w:rsid w:val="00D704AC"/>
    <w:rsid w:val="00D70713"/>
    <w:rsid w:val="00D73D44"/>
    <w:rsid w:val="00D73F54"/>
    <w:rsid w:val="00D741A8"/>
    <w:rsid w:val="00D746FC"/>
    <w:rsid w:val="00D7586A"/>
    <w:rsid w:val="00D776BA"/>
    <w:rsid w:val="00D7795D"/>
    <w:rsid w:val="00D818A7"/>
    <w:rsid w:val="00D81BDF"/>
    <w:rsid w:val="00D85B59"/>
    <w:rsid w:val="00D90A51"/>
    <w:rsid w:val="00D91102"/>
    <w:rsid w:val="00D91F4E"/>
    <w:rsid w:val="00D92F16"/>
    <w:rsid w:val="00D9489F"/>
    <w:rsid w:val="00D95DFB"/>
    <w:rsid w:val="00D963D7"/>
    <w:rsid w:val="00D97A32"/>
    <w:rsid w:val="00DA1E3A"/>
    <w:rsid w:val="00DA3C57"/>
    <w:rsid w:val="00DA3EF1"/>
    <w:rsid w:val="00DA4402"/>
    <w:rsid w:val="00DA4622"/>
    <w:rsid w:val="00DA4B5D"/>
    <w:rsid w:val="00DA4E04"/>
    <w:rsid w:val="00DA5872"/>
    <w:rsid w:val="00DA7811"/>
    <w:rsid w:val="00DB0106"/>
    <w:rsid w:val="00DB355B"/>
    <w:rsid w:val="00DB428A"/>
    <w:rsid w:val="00DB51BE"/>
    <w:rsid w:val="00DB722D"/>
    <w:rsid w:val="00DC0D91"/>
    <w:rsid w:val="00DC25D1"/>
    <w:rsid w:val="00DC66DC"/>
    <w:rsid w:val="00DD4407"/>
    <w:rsid w:val="00DD5A79"/>
    <w:rsid w:val="00DD7C11"/>
    <w:rsid w:val="00DE02FD"/>
    <w:rsid w:val="00DE2266"/>
    <w:rsid w:val="00DE22E2"/>
    <w:rsid w:val="00DE3780"/>
    <w:rsid w:val="00DE4AE4"/>
    <w:rsid w:val="00DE5522"/>
    <w:rsid w:val="00DF17AD"/>
    <w:rsid w:val="00DF3174"/>
    <w:rsid w:val="00DF4E75"/>
    <w:rsid w:val="00DF71A1"/>
    <w:rsid w:val="00DF7D56"/>
    <w:rsid w:val="00E005E4"/>
    <w:rsid w:val="00E00C2D"/>
    <w:rsid w:val="00E01AA4"/>
    <w:rsid w:val="00E057DB"/>
    <w:rsid w:val="00E0720A"/>
    <w:rsid w:val="00E1226B"/>
    <w:rsid w:val="00E1454B"/>
    <w:rsid w:val="00E1589E"/>
    <w:rsid w:val="00E15B3B"/>
    <w:rsid w:val="00E15D11"/>
    <w:rsid w:val="00E15E7E"/>
    <w:rsid w:val="00E16778"/>
    <w:rsid w:val="00E16958"/>
    <w:rsid w:val="00E24043"/>
    <w:rsid w:val="00E261C9"/>
    <w:rsid w:val="00E27563"/>
    <w:rsid w:val="00E30C42"/>
    <w:rsid w:val="00E3315A"/>
    <w:rsid w:val="00E34CE8"/>
    <w:rsid w:val="00E35E7F"/>
    <w:rsid w:val="00E363E1"/>
    <w:rsid w:val="00E36AFB"/>
    <w:rsid w:val="00E3703D"/>
    <w:rsid w:val="00E378A5"/>
    <w:rsid w:val="00E406B1"/>
    <w:rsid w:val="00E41247"/>
    <w:rsid w:val="00E4201B"/>
    <w:rsid w:val="00E4236F"/>
    <w:rsid w:val="00E43486"/>
    <w:rsid w:val="00E44297"/>
    <w:rsid w:val="00E44D5F"/>
    <w:rsid w:val="00E45773"/>
    <w:rsid w:val="00E462C8"/>
    <w:rsid w:val="00E4679F"/>
    <w:rsid w:val="00E51589"/>
    <w:rsid w:val="00E52232"/>
    <w:rsid w:val="00E53437"/>
    <w:rsid w:val="00E5390C"/>
    <w:rsid w:val="00E53C88"/>
    <w:rsid w:val="00E57C83"/>
    <w:rsid w:val="00E6380C"/>
    <w:rsid w:val="00E63BEA"/>
    <w:rsid w:val="00E6700B"/>
    <w:rsid w:val="00E67821"/>
    <w:rsid w:val="00E71DC7"/>
    <w:rsid w:val="00E7259C"/>
    <w:rsid w:val="00E743CA"/>
    <w:rsid w:val="00E75059"/>
    <w:rsid w:val="00E8037F"/>
    <w:rsid w:val="00E80507"/>
    <w:rsid w:val="00E80BB5"/>
    <w:rsid w:val="00E825B1"/>
    <w:rsid w:val="00E827EF"/>
    <w:rsid w:val="00E85616"/>
    <w:rsid w:val="00E86003"/>
    <w:rsid w:val="00E908C8"/>
    <w:rsid w:val="00E90A0D"/>
    <w:rsid w:val="00E916ED"/>
    <w:rsid w:val="00E94663"/>
    <w:rsid w:val="00E9637A"/>
    <w:rsid w:val="00E976AA"/>
    <w:rsid w:val="00EA0C9D"/>
    <w:rsid w:val="00EA445A"/>
    <w:rsid w:val="00EA7D7E"/>
    <w:rsid w:val="00EA7F9E"/>
    <w:rsid w:val="00EB4A47"/>
    <w:rsid w:val="00EB59A3"/>
    <w:rsid w:val="00EB5CCB"/>
    <w:rsid w:val="00EB60B5"/>
    <w:rsid w:val="00EC0E3E"/>
    <w:rsid w:val="00EC237E"/>
    <w:rsid w:val="00EC26EB"/>
    <w:rsid w:val="00EC3AB5"/>
    <w:rsid w:val="00EC504B"/>
    <w:rsid w:val="00EC755B"/>
    <w:rsid w:val="00EC79B1"/>
    <w:rsid w:val="00ED14F1"/>
    <w:rsid w:val="00ED1FFF"/>
    <w:rsid w:val="00ED20DB"/>
    <w:rsid w:val="00ED6A1E"/>
    <w:rsid w:val="00ED715B"/>
    <w:rsid w:val="00EE1E7A"/>
    <w:rsid w:val="00EE3720"/>
    <w:rsid w:val="00EE6546"/>
    <w:rsid w:val="00EE7045"/>
    <w:rsid w:val="00EE7114"/>
    <w:rsid w:val="00EE7246"/>
    <w:rsid w:val="00EF2044"/>
    <w:rsid w:val="00EF222D"/>
    <w:rsid w:val="00EF262E"/>
    <w:rsid w:val="00EF42D3"/>
    <w:rsid w:val="00EF7AA9"/>
    <w:rsid w:val="00EF7FC9"/>
    <w:rsid w:val="00F009BB"/>
    <w:rsid w:val="00F00CF9"/>
    <w:rsid w:val="00F04E9A"/>
    <w:rsid w:val="00F055CC"/>
    <w:rsid w:val="00F1097C"/>
    <w:rsid w:val="00F11E45"/>
    <w:rsid w:val="00F13128"/>
    <w:rsid w:val="00F1497A"/>
    <w:rsid w:val="00F154DA"/>
    <w:rsid w:val="00F157BA"/>
    <w:rsid w:val="00F172B1"/>
    <w:rsid w:val="00F21FF5"/>
    <w:rsid w:val="00F22172"/>
    <w:rsid w:val="00F22477"/>
    <w:rsid w:val="00F2395B"/>
    <w:rsid w:val="00F24453"/>
    <w:rsid w:val="00F25FAB"/>
    <w:rsid w:val="00F31B47"/>
    <w:rsid w:val="00F322E9"/>
    <w:rsid w:val="00F327C3"/>
    <w:rsid w:val="00F329A6"/>
    <w:rsid w:val="00F34015"/>
    <w:rsid w:val="00F3477F"/>
    <w:rsid w:val="00F37292"/>
    <w:rsid w:val="00F40DDB"/>
    <w:rsid w:val="00F43240"/>
    <w:rsid w:val="00F43BBC"/>
    <w:rsid w:val="00F50C5F"/>
    <w:rsid w:val="00F5173E"/>
    <w:rsid w:val="00F52067"/>
    <w:rsid w:val="00F52818"/>
    <w:rsid w:val="00F52FB1"/>
    <w:rsid w:val="00F54187"/>
    <w:rsid w:val="00F56AED"/>
    <w:rsid w:val="00F56F73"/>
    <w:rsid w:val="00F65418"/>
    <w:rsid w:val="00F6719B"/>
    <w:rsid w:val="00F71E66"/>
    <w:rsid w:val="00F729D0"/>
    <w:rsid w:val="00F729E8"/>
    <w:rsid w:val="00F72AEE"/>
    <w:rsid w:val="00F81E7B"/>
    <w:rsid w:val="00F844CF"/>
    <w:rsid w:val="00F86B8B"/>
    <w:rsid w:val="00F87647"/>
    <w:rsid w:val="00F87F11"/>
    <w:rsid w:val="00F90309"/>
    <w:rsid w:val="00F905EF"/>
    <w:rsid w:val="00F91719"/>
    <w:rsid w:val="00F94087"/>
    <w:rsid w:val="00F951DE"/>
    <w:rsid w:val="00F965D6"/>
    <w:rsid w:val="00F9743D"/>
    <w:rsid w:val="00FA0056"/>
    <w:rsid w:val="00FA1749"/>
    <w:rsid w:val="00FA2351"/>
    <w:rsid w:val="00FB1F58"/>
    <w:rsid w:val="00FB259F"/>
    <w:rsid w:val="00FB79D8"/>
    <w:rsid w:val="00FC11E6"/>
    <w:rsid w:val="00FC121E"/>
    <w:rsid w:val="00FC1618"/>
    <w:rsid w:val="00FC161B"/>
    <w:rsid w:val="00FC2748"/>
    <w:rsid w:val="00FC7F8B"/>
    <w:rsid w:val="00FD0043"/>
    <w:rsid w:val="00FD1002"/>
    <w:rsid w:val="00FD3BB7"/>
    <w:rsid w:val="00FD45C6"/>
    <w:rsid w:val="00FD5049"/>
    <w:rsid w:val="00FD6F98"/>
    <w:rsid w:val="00FD7BB6"/>
    <w:rsid w:val="00FD7FED"/>
    <w:rsid w:val="00FE03B6"/>
    <w:rsid w:val="00FE3DFD"/>
    <w:rsid w:val="00FE4D23"/>
    <w:rsid w:val="00FE63C0"/>
    <w:rsid w:val="00FE66A2"/>
    <w:rsid w:val="00FE7092"/>
    <w:rsid w:val="00FE7423"/>
    <w:rsid w:val="00FF049E"/>
    <w:rsid w:val="00FF23AD"/>
    <w:rsid w:val="00FF467B"/>
    <w:rsid w:val="00FF471E"/>
    <w:rsid w:val="00FF5905"/>
    <w:rsid w:val="00FF760D"/>
    <w:rsid w:val="00FF79A7"/>
    <w:rsid w:val="00FF7B0F"/>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295866"/>
  <w15:docId w15:val="{E7C091F8-C7A7-4A41-9D51-F460A523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B15EA"/>
    <w:pPr>
      <w:autoSpaceDE w:val="0"/>
      <w:autoSpaceDN w:val="0"/>
      <w:spacing w:after="0" w:line="240" w:lineRule="auto"/>
    </w:pPr>
    <w:rPr>
      <w:sz w:val="20"/>
      <w:szCs w:val="20"/>
    </w:rPr>
  </w:style>
  <w:style w:type="paragraph" w:styleId="1">
    <w:name w:val="heading 1"/>
    <w:basedOn w:val="a1"/>
    <w:next w:val="a1"/>
    <w:link w:val="10"/>
    <w:uiPriority w:val="99"/>
    <w:qFormat/>
    <w:rsid w:val="008F294C"/>
    <w:pPr>
      <w:keepNext/>
      <w:numPr>
        <w:numId w:val="2"/>
      </w:numPr>
      <w:tabs>
        <w:tab w:val="center" w:pos="4111"/>
      </w:tabs>
      <w:spacing w:before="120"/>
      <w:outlineLvl w:val="0"/>
    </w:pPr>
    <w:rPr>
      <w:b/>
      <w:bCs/>
      <w:kern w:val="1"/>
      <w:lang w:val="en-US"/>
    </w:rPr>
  </w:style>
  <w:style w:type="paragraph" w:styleId="2">
    <w:name w:val="heading 2"/>
    <w:basedOn w:val="a1"/>
    <w:next w:val="a1"/>
    <w:link w:val="20"/>
    <w:uiPriority w:val="99"/>
    <w:qFormat/>
    <w:rsid w:val="008F294C"/>
    <w:pPr>
      <w:keepNext/>
      <w:keepLines/>
      <w:numPr>
        <w:ilvl w:val="1"/>
        <w:numId w:val="2"/>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8F294C"/>
    <w:rPr>
      <w:b/>
      <w:bCs/>
      <w:kern w:val="1"/>
      <w:sz w:val="20"/>
      <w:szCs w:val="20"/>
      <w:lang w:val="en-US"/>
    </w:rPr>
  </w:style>
  <w:style w:type="character" w:customStyle="1" w:styleId="20">
    <w:name w:val="Заголовок 2 Знак"/>
    <w:basedOn w:val="a2"/>
    <w:link w:val="2"/>
    <w:uiPriority w:val="99"/>
    <w:locked/>
    <w:rsid w:val="008F294C"/>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8F294C"/>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8F294C"/>
    <w:rPr>
      <w:rFonts w:ascii="Cambria" w:hAnsi="Cambria" w:cs="Times New Roman"/>
      <w:b/>
      <w:bCs/>
      <w:kern w:val="28"/>
      <w:sz w:val="32"/>
      <w:szCs w:val="32"/>
    </w:rPr>
  </w:style>
  <w:style w:type="paragraph" w:styleId="21">
    <w:name w:val="Body Text Indent 2"/>
    <w:basedOn w:val="a1"/>
    <w:link w:val="22"/>
    <w:uiPriority w:val="99"/>
    <w:rsid w:val="008F294C"/>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8F294C"/>
    <w:rPr>
      <w:rFonts w:cs="Times New Roman"/>
      <w:sz w:val="20"/>
      <w:szCs w:val="20"/>
    </w:rPr>
  </w:style>
  <w:style w:type="paragraph" w:customStyle="1" w:styleId="Iauiue">
    <w:name w:val="Iau?iue"/>
    <w:uiPriority w:val="99"/>
    <w:rsid w:val="008F294C"/>
    <w:pPr>
      <w:autoSpaceDE w:val="0"/>
      <w:autoSpaceDN w:val="0"/>
      <w:spacing w:after="0" w:line="240" w:lineRule="auto"/>
    </w:pPr>
    <w:rPr>
      <w:sz w:val="20"/>
      <w:szCs w:val="20"/>
    </w:rPr>
  </w:style>
  <w:style w:type="paragraph" w:styleId="23">
    <w:name w:val="Body Text 2"/>
    <w:basedOn w:val="a1"/>
    <w:link w:val="24"/>
    <w:uiPriority w:val="99"/>
    <w:rsid w:val="008F294C"/>
    <w:pPr>
      <w:shd w:val="clear" w:color="auto" w:fill="FFFFFF"/>
      <w:jc w:val="both"/>
    </w:pPr>
  </w:style>
  <w:style w:type="character" w:customStyle="1" w:styleId="24">
    <w:name w:val="Основной текст 2 Знак"/>
    <w:basedOn w:val="a2"/>
    <w:link w:val="23"/>
    <w:uiPriority w:val="99"/>
    <w:semiHidden/>
    <w:locked/>
    <w:rsid w:val="008F294C"/>
    <w:rPr>
      <w:rFonts w:cs="Times New Roman"/>
      <w:sz w:val="20"/>
      <w:szCs w:val="20"/>
    </w:rPr>
  </w:style>
  <w:style w:type="paragraph" w:styleId="a7">
    <w:name w:val="Body Text"/>
    <w:basedOn w:val="a1"/>
    <w:link w:val="a8"/>
    <w:uiPriority w:val="99"/>
    <w:rsid w:val="008F294C"/>
    <w:pPr>
      <w:spacing w:after="120"/>
    </w:pPr>
  </w:style>
  <w:style w:type="character" w:customStyle="1" w:styleId="a8">
    <w:name w:val="Основной текст Знак"/>
    <w:basedOn w:val="a2"/>
    <w:link w:val="a7"/>
    <w:uiPriority w:val="99"/>
    <w:semiHidden/>
    <w:locked/>
    <w:rsid w:val="008F294C"/>
    <w:rPr>
      <w:rFonts w:cs="Times New Roman"/>
      <w:sz w:val="20"/>
      <w:szCs w:val="20"/>
    </w:rPr>
  </w:style>
  <w:style w:type="paragraph" w:styleId="31">
    <w:name w:val="Body Text Indent 3"/>
    <w:basedOn w:val="a1"/>
    <w:link w:val="32"/>
    <w:uiPriority w:val="99"/>
    <w:rsid w:val="008F294C"/>
    <w:pPr>
      <w:spacing w:after="120"/>
      <w:ind w:right="590" w:firstLine="284"/>
      <w:jc w:val="both"/>
    </w:pPr>
  </w:style>
  <w:style w:type="character" w:customStyle="1" w:styleId="32">
    <w:name w:val="Основной текст с отступом 3 Знак"/>
    <w:basedOn w:val="a2"/>
    <w:link w:val="31"/>
    <w:uiPriority w:val="99"/>
    <w:semiHidden/>
    <w:locked/>
    <w:rsid w:val="008F294C"/>
    <w:rPr>
      <w:rFonts w:cs="Times New Roman"/>
      <w:sz w:val="16"/>
      <w:szCs w:val="16"/>
    </w:rPr>
  </w:style>
  <w:style w:type="paragraph" w:styleId="a9">
    <w:name w:val="Subtitle"/>
    <w:basedOn w:val="a1"/>
    <w:link w:val="aa"/>
    <w:uiPriority w:val="99"/>
    <w:qFormat/>
    <w:rsid w:val="008F294C"/>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8F294C"/>
    <w:rPr>
      <w:rFonts w:ascii="Cambria" w:hAnsi="Cambria" w:cs="Times New Roman"/>
      <w:sz w:val="24"/>
      <w:szCs w:val="24"/>
    </w:rPr>
  </w:style>
  <w:style w:type="paragraph" w:customStyle="1" w:styleId="prg3">
    <w:name w:val="prg3"/>
    <w:basedOn w:val="a1"/>
    <w:uiPriority w:val="99"/>
    <w:rsid w:val="008F294C"/>
    <w:pPr>
      <w:numPr>
        <w:ilvl w:val="2"/>
        <w:numId w:val="2"/>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8F294C"/>
    <w:pPr>
      <w:numPr>
        <w:ilvl w:val="4"/>
        <w:numId w:val="2"/>
      </w:numPr>
    </w:pPr>
    <w:rPr>
      <w:lang w:val="en-US"/>
    </w:rPr>
  </w:style>
  <w:style w:type="paragraph" w:customStyle="1" w:styleId="BodyNum">
    <w:name w:val="Body Num"/>
    <w:basedOn w:val="a1"/>
    <w:uiPriority w:val="99"/>
    <w:rsid w:val="008F294C"/>
    <w:pPr>
      <w:spacing w:after="120"/>
      <w:jc w:val="both"/>
    </w:pPr>
    <w:rPr>
      <w:sz w:val="24"/>
      <w:szCs w:val="24"/>
    </w:rPr>
  </w:style>
  <w:style w:type="paragraph" w:styleId="33">
    <w:name w:val="Body Text 3"/>
    <w:basedOn w:val="a1"/>
    <w:link w:val="34"/>
    <w:uiPriority w:val="99"/>
    <w:rsid w:val="008F294C"/>
    <w:rPr>
      <w:b/>
      <w:bCs/>
      <w:sz w:val="24"/>
      <w:szCs w:val="24"/>
    </w:rPr>
  </w:style>
  <w:style w:type="character" w:customStyle="1" w:styleId="34">
    <w:name w:val="Основной текст 3 Знак"/>
    <w:basedOn w:val="a2"/>
    <w:link w:val="33"/>
    <w:uiPriority w:val="99"/>
    <w:semiHidden/>
    <w:locked/>
    <w:rsid w:val="008F294C"/>
    <w:rPr>
      <w:rFonts w:cs="Times New Roman"/>
      <w:sz w:val="16"/>
      <w:szCs w:val="16"/>
    </w:rPr>
  </w:style>
  <w:style w:type="paragraph" w:customStyle="1" w:styleId="ConsNormal">
    <w:name w:val="ConsNormal"/>
    <w:uiPriority w:val="99"/>
    <w:rsid w:val="008F294C"/>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8F294C"/>
    <w:pPr>
      <w:spacing w:before="100" w:after="100"/>
    </w:pPr>
    <w:rPr>
      <w:sz w:val="24"/>
      <w:szCs w:val="24"/>
    </w:rPr>
  </w:style>
  <w:style w:type="paragraph" w:styleId="ac">
    <w:name w:val="header"/>
    <w:basedOn w:val="a1"/>
    <w:link w:val="ad"/>
    <w:uiPriority w:val="99"/>
    <w:rsid w:val="008F294C"/>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8F294C"/>
    <w:rPr>
      <w:rFonts w:cs="Times New Roman"/>
      <w:sz w:val="20"/>
      <w:szCs w:val="20"/>
    </w:rPr>
  </w:style>
  <w:style w:type="paragraph" w:styleId="ae">
    <w:name w:val="footer"/>
    <w:basedOn w:val="a1"/>
    <w:link w:val="af"/>
    <w:uiPriority w:val="99"/>
    <w:rsid w:val="008F294C"/>
    <w:pPr>
      <w:tabs>
        <w:tab w:val="center" w:pos="4153"/>
        <w:tab w:val="right" w:pos="8306"/>
      </w:tabs>
    </w:pPr>
  </w:style>
  <w:style w:type="character" w:customStyle="1" w:styleId="af">
    <w:name w:val="Нижний колонтитул Знак"/>
    <w:basedOn w:val="a2"/>
    <w:link w:val="ae"/>
    <w:uiPriority w:val="99"/>
    <w:locked/>
    <w:rsid w:val="008F294C"/>
    <w:rPr>
      <w:rFonts w:cs="Times New Roman"/>
      <w:sz w:val="20"/>
      <w:szCs w:val="20"/>
    </w:rPr>
  </w:style>
  <w:style w:type="character" w:styleId="af0">
    <w:name w:val="page number"/>
    <w:basedOn w:val="a2"/>
    <w:uiPriority w:val="99"/>
    <w:rsid w:val="008F294C"/>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8F294C"/>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8F294C"/>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8F294C"/>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1"/>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335AD2"/>
    <w:pPr>
      <w:autoSpaceDE/>
      <w:autoSpaceDN/>
    </w:pPr>
    <w:rPr>
      <w:rFonts w:ascii="Verdana" w:eastAsia="Arial Unicode MS" w:hAnsi="Verdana"/>
      <w:sz w:val="16"/>
      <w:szCs w:val="24"/>
      <w:lang w:eastAsia="en-US"/>
    </w:rPr>
  </w:style>
  <w:style w:type="paragraph" w:styleId="afd">
    <w:name w:val="List Paragraph"/>
    <w:basedOn w:val="a1"/>
    <w:uiPriority w:val="34"/>
    <w:qFormat/>
    <w:rsid w:val="006814B1"/>
    <w:pPr>
      <w:autoSpaceDE/>
      <w:autoSpaceDN/>
      <w:ind w:left="720"/>
      <w:contextualSpacing/>
    </w:pPr>
    <w:rPr>
      <w:lang w:eastAsia="en-US"/>
    </w:rPr>
  </w:style>
  <w:style w:type="character" w:styleId="afe">
    <w:name w:val="FollowedHyperlink"/>
    <w:basedOn w:val="a2"/>
    <w:uiPriority w:val="99"/>
    <w:semiHidden/>
    <w:unhideWhenUsed/>
    <w:rsid w:val="006B15EA"/>
    <w:rPr>
      <w:color w:val="800080" w:themeColor="followedHyperlink"/>
      <w:u w:val="single"/>
    </w:rPr>
  </w:style>
  <w:style w:type="character" w:styleId="aff">
    <w:name w:val="Emphasis"/>
    <w:basedOn w:val="a2"/>
    <w:uiPriority w:val="20"/>
    <w:qFormat/>
    <w:locked/>
    <w:rsid w:val="003378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9175">
      <w:marLeft w:val="0"/>
      <w:marRight w:val="0"/>
      <w:marTop w:val="0"/>
      <w:marBottom w:val="0"/>
      <w:divBdr>
        <w:top w:val="none" w:sz="0" w:space="0" w:color="auto"/>
        <w:left w:val="none" w:sz="0" w:space="0" w:color="auto"/>
        <w:bottom w:val="none" w:sz="0" w:space="0" w:color="auto"/>
        <w:right w:val="none" w:sz="0" w:space="0" w:color="auto"/>
      </w:divBdr>
    </w:div>
    <w:div w:id="247159176">
      <w:marLeft w:val="0"/>
      <w:marRight w:val="0"/>
      <w:marTop w:val="0"/>
      <w:marBottom w:val="0"/>
      <w:divBdr>
        <w:top w:val="none" w:sz="0" w:space="0" w:color="auto"/>
        <w:left w:val="none" w:sz="0" w:space="0" w:color="auto"/>
        <w:bottom w:val="none" w:sz="0" w:space="0" w:color="auto"/>
        <w:right w:val="none" w:sz="0" w:space="0" w:color="auto"/>
      </w:divBdr>
    </w:div>
    <w:div w:id="91890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529E8075A0AD27B070DDD49AE331770A8D03EE1CA6F48687DFBB9208E596B56AC9131B593D004C9E19E2E5505F7CFD71FB498FCAeDc8M" TargetMode="External"/><Relationship Id="rId18" Type="http://schemas.openxmlformats.org/officeDocument/2006/relationships/hyperlink" Target="consultantplus://offline/ref=6F67522BACA6ADF3620CB374D7EA32708BA7C9EC905DC5F2E23EF35134050D6B3E17264CA938F7C0ACBFFBCCCB39D8CDFC2B3A57e2FB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consultantplus://offline/ref=D2EECC00C66F2B6DB024C10780BB8FA1CE09F46E7408A51B28D318D599E521D9958F8B01C1D27DFFF37CEC0FB4BCTAN" TargetMode="External"/><Relationship Id="rId17" Type="http://schemas.openxmlformats.org/officeDocument/2006/relationships/hyperlink" Target="consultantplus://offline/ref=6A36D4A98B1EEC2F42D5331DFEE92A11C66C07EB9F7B47E493363BE5F91E51C92D29E64F9F742757C7E9E1F5AA28FF387128A78CzDr7N" TargetMode="External"/><Relationship Id="rId2" Type="http://schemas.openxmlformats.org/officeDocument/2006/relationships/customXml" Target="../customXml/item2.xml"/><Relationship Id="rId16" Type="http://schemas.openxmlformats.org/officeDocument/2006/relationships/hyperlink" Target="consultantplus://offline/ref=529E8075A0AD27B070DDD49AE331770A8D03EE1CA6F48687DFBB9208E596B56AC9131B593D004C9E19E2E5505F7CFD71FB498FCAeDc8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bonds.ru" TargetMode="External"/><Relationship Id="rId5" Type="http://schemas.openxmlformats.org/officeDocument/2006/relationships/numbering" Target="numbering.xml"/><Relationship Id="rId15" Type="http://schemas.openxmlformats.org/officeDocument/2006/relationships/hyperlink" Target="consultantplus://offline/ref=6F67522BACA6ADF3620CB374D7EA32708BA7C9EC905DC5F2E23EF35134050D6B3E17264CA938F7C0ACBFFBCCCB39D8CDFC2B3A57e2FB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A36D4A98B1EEC2F42D5331DFEE92A11C66C07EB9F7B47E493363BE5F91E51C92D29E64F9F742757C7E9E1F5AA28FF387128A78CzDr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60BF2-E176-46DA-902F-391769016DA0}">
  <ds:schemaRef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DBE92280-7E78-4A03-ADC4-5804E7F23F40}">
  <ds:schemaRefs>
    <ds:schemaRef ds:uri="http://schemas.microsoft.com/sharepoint/v3/contenttype/forms"/>
  </ds:schemaRefs>
</ds:datastoreItem>
</file>

<file path=customXml/itemProps3.xml><?xml version="1.0" encoding="utf-8"?>
<ds:datastoreItem xmlns:ds="http://schemas.openxmlformats.org/officeDocument/2006/customXml" ds:itemID="{E7444D26-620D-43F1-A534-B977167DA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0861BE-06E4-4462-9ED4-48ED5E95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6882</Words>
  <Characters>50606</Characters>
  <Application>Microsoft Office Word</Application>
  <DocSecurity>0</DocSecurity>
  <Lines>421</Lines>
  <Paragraphs>114</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57374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subject/>
  <dc:creator>Anna</dc:creator>
  <cp:keywords/>
  <dc:description/>
  <cp:lastModifiedBy>Катерина Родионова</cp:lastModifiedBy>
  <cp:revision>3</cp:revision>
  <cp:lastPrinted>2022-02-24T14:37:00Z</cp:lastPrinted>
  <dcterms:created xsi:type="dcterms:W3CDTF">2024-02-26T12:49:00Z</dcterms:created>
  <dcterms:modified xsi:type="dcterms:W3CDTF">2024-03-05T07:15:00Z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